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63D8B0" w14:textId="0D4D54BF" w:rsidR="003505D9" w:rsidRDefault="00E8559E" w:rsidP="00E8559E">
      <w:pPr>
        <w:tabs>
          <w:tab w:val="left" w:pos="9371"/>
        </w:tabs>
        <w:ind w:left="114"/>
        <w:jc w:val="right"/>
        <w:rPr>
          <w:rFonts w:ascii="Times New Roman"/>
          <w:sz w:val="20"/>
        </w:rPr>
      </w:pPr>
      <w:r w:rsidRPr="00E8559E">
        <w:t>FULL TEXT</w:t>
      </w:r>
    </w:p>
    <w:p w14:paraId="54CA6EFE" w14:textId="77777777" w:rsidR="00E8559E" w:rsidRDefault="00E8559E" w:rsidP="00E8559E">
      <w:pPr>
        <w:pStyle w:val="BodyText"/>
        <w:spacing w:before="4"/>
        <w:ind w:left="0"/>
      </w:pPr>
      <w:r>
        <w:t xml:space="preserve"> </w:t>
      </w:r>
    </w:p>
    <w:p w14:paraId="2B63D8B4" w14:textId="08779EA8" w:rsidR="003505D9" w:rsidRPr="00E8559E" w:rsidRDefault="00E8559E" w:rsidP="00E8559E">
      <w:pPr>
        <w:pStyle w:val="BodyText"/>
        <w:spacing w:before="4"/>
        <w:ind w:left="0"/>
        <w:rPr>
          <w:rFonts w:ascii="Times New Roman"/>
          <w:sz w:val="16"/>
        </w:rPr>
      </w:pPr>
      <w:r w:rsidRPr="00E8559E">
        <w:t xml:space="preserve">Approved by Rector’s directive No </w:t>
      </w:r>
      <w:r>
        <w:t xml:space="preserve">26 </w:t>
      </w:r>
      <w:r w:rsidRPr="00E8559E">
        <w:t xml:space="preserve">of </w:t>
      </w:r>
      <w:r>
        <w:t>30</w:t>
      </w:r>
      <w:r w:rsidRPr="00E8559E">
        <w:t xml:space="preserve"> Ju</w:t>
      </w:r>
      <w:r>
        <w:t>ne</w:t>
      </w:r>
      <w:r w:rsidRPr="00E8559E">
        <w:t xml:space="preserve"> </w:t>
      </w:r>
      <w:r>
        <w:t>2021</w:t>
      </w:r>
    </w:p>
    <w:p w14:paraId="2B63D8B6" w14:textId="57919E6D" w:rsidR="003505D9" w:rsidRDefault="00B817AA">
      <w:pPr>
        <w:pStyle w:val="BodyText"/>
        <w:ind w:left="0"/>
      </w:pPr>
      <w:r>
        <w:t xml:space="preserve">Amended by Rector’s </w:t>
      </w:r>
      <w:r w:rsidR="00E356E8">
        <w:t>directive No 46 of 8 December 2023</w:t>
      </w:r>
    </w:p>
    <w:p w14:paraId="090F686F" w14:textId="76001D96" w:rsidR="002A57E5" w:rsidRDefault="002A57E5">
      <w:pPr>
        <w:pStyle w:val="BodyText"/>
        <w:ind w:left="0"/>
      </w:pPr>
      <w:r>
        <w:t xml:space="preserve">Amended by </w:t>
      </w:r>
      <w:r w:rsidR="008B7885">
        <w:t>Rector’s</w:t>
      </w:r>
      <w:r w:rsidR="000076C5">
        <w:t xml:space="preserve"> directive No 25 of 15 July 2024</w:t>
      </w:r>
    </w:p>
    <w:p w14:paraId="0BFBB0D4" w14:textId="77777777" w:rsidR="00FA5334" w:rsidRDefault="00FA5334">
      <w:pPr>
        <w:pStyle w:val="BodyText"/>
        <w:ind w:left="0"/>
      </w:pPr>
    </w:p>
    <w:p w14:paraId="1E0916EC" w14:textId="6C217BD3" w:rsidR="00FA5334" w:rsidRPr="00264C9C" w:rsidRDefault="00AE448F">
      <w:pPr>
        <w:pStyle w:val="BodyText"/>
        <w:ind w:left="0"/>
        <w:rPr>
          <w:color w:val="000000" w:themeColor="text1"/>
        </w:rPr>
      </w:pPr>
      <w:r>
        <w:t xml:space="preserve"> </w:t>
      </w:r>
      <w:r w:rsidR="00FA5334">
        <w:t>In</w:t>
      </w:r>
      <w:r>
        <w:t xml:space="preserve"> </w:t>
      </w:r>
      <w:r w:rsidR="00FA5334">
        <w:t>force from</w:t>
      </w:r>
      <w:r>
        <w:t xml:space="preserve">: </w:t>
      </w:r>
      <w:r w:rsidR="00264C9C" w:rsidRPr="00264C9C">
        <w:rPr>
          <w:color w:val="000000" w:themeColor="text1"/>
          <w:lang w:val="et-EE"/>
        </w:rPr>
        <w:t>15.07.2024</w:t>
      </w:r>
    </w:p>
    <w:p w14:paraId="4238F8EC" w14:textId="77777777" w:rsidR="00E356E8" w:rsidRDefault="00E356E8">
      <w:pPr>
        <w:pStyle w:val="BodyText"/>
        <w:ind w:left="0"/>
      </w:pPr>
    </w:p>
    <w:p w14:paraId="2B63D8B7" w14:textId="2C917080" w:rsidR="003505D9" w:rsidRPr="00E8559E" w:rsidRDefault="00F63B32" w:rsidP="00E8559E">
      <w:pPr>
        <w:pStyle w:val="BodyText"/>
        <w:ind w:left="125"/>
        <w:rPr>
          <w:b/>
        </w:rPr>
      </w:pPr>
      <w:r w:rsidRPr="00E8559E">
        <w:rPr>
          <w:b/>
        </w:rPr>
        <w:t>Implementation of the Strategic Plan of Tallinn University of Technology 2021– 2025</w:t>
      </w:r>
    </w:p>
    <w:p w14:paraId="2B63D8B8" w14:textId="77777777" w:rsidR="003505D9" w:rsidRDefault="003505D9">
      <w:pPr>
        <w:pStyle w:val="BodyText"/>
        <w:ind w:left="0"/>
      </w:pPr>
    </w:p>
    <w:p w14:paraId="2B63D8B9" w14:textId="77777777" w:rsidR="003505D9" w:rsidRDefault="003505D9">
      <w:pPr>
        <w:pStyle w:val="BodyText"/>
        <w:spacing w:before="3"/>
        <w:ind w:left="0"/>
        <w:rPr>
          <w:sz w:val="27"/>
        </w:rPr>
      </w:pPr>
    </w:p>
    <w:p w14:paraId="2B63D8BA" w14:textId="20145B93" w:rsidR="003505D9" w:rsidRDefault="00F63B32">
      <w:pPr>
        <w:pStyle w:val="BodyText"/>
        <w:ind w:right="311"/>
      </w:pPr>
      <w:r>
        <w:t xml:space="preserve">Based on clause 1 of § 11 of the Statutes of Tallinn University of Technology (hereinafter referred to as “the university”), the Strategic Plan of Tallinn University of Technology 2021–2025 adopted based on resolution No 1 of 19.02.2021 of the </w:t>
      </w:r>
      <w:r w:rsidR="006830DF">
        <w:t>University Board</w:t>
      </w:r>
      <w:r>
        <w:t xml:space="preserve"> (hereinafter referred to as “the Strategic Plan”), the key performance indicators of the Strategic Plan of Tallinn University of Technology 2021–2025 approved by resolution No 2 of 19.03.202 of the </w:t>
      </w:r>
      <w:r w:rsidR="000D3D2F">
        <w:t>University Board</w:t>
      </w:r>
      <w:r>
        <w:t xml:space="preserve"> and  order No 99 of 12.10.2020 of the Rector of the university,</w:t>
      </w:r>
    </w:p>
    <w:p w14:paraId="2B63D8BB" w14:textId="428AE33C" w:rsidR="003505D9" w:rsidRDefault="00F63B32" w:rsidP="00664357">
      <w:pPr>
        <w:pStyle w:val="ListParagraph"/>
        <w:numPr>
          <w:ilvl w:val="0"/>
          <w:numId w:val="1"/>
        </w:numPr>
        <w:tabs>
          <w:tab w:val="left" w:pos="351"/>
        </w:tabs>
        <w:spacing w:before="121"/>
        <w:ind w:left="122" w:right="324" w:firstLine="0"/>
      </w:pPr>
      <w:r>
        <w:t>I approve the implementation plan of the university’s Strategic Plan 2021–2025 (hereinafter referred to as “the implementation plan”) (</w:t>
      </w:r>
      <w:r w:rsidR="003B68CC">
        <w:t>Annex 1)</w:t>
      </w:r>
      <w:r>
        <w:t>.</w:t>
      </w:r>
      <w:r w:rsidR="00A33B6E">
        <w:t xml:space="preserve"> </w:t>
      </w:r>
      <w:r w:rsidR="007340E0">
        <w:t xml:space="preserve">[entry into force </w:t>
      </w:r>
      <w:r w:rsidR="00860D74">
        <w:t>15.07.2024</w:t>
      </w:r>
      <w:r w:rsidR="00FE7F54">
        <w:t>]</w:t>
      </w:r>
    </w:p>
    <w:p w14:paraId="2B63D8BD" w14:textId="307D036F" w:rsidR="003505D9" w:rsidRDefault="00F63B32" w:rsidP="00F63B32">
      <w:pPr>
        <w:pStyle w:val="ListParagraph"/>
        <w:numPr>
          <w:ilvl w:val="0"/>
          <w:numId w:val="1"/>
        </w:numPr>
        <w:tabs>
          <w:tab w:val="left" w:pos="351"/>
        </w:tabs>
        <w:spacing w:line="267" w:lineRule="exact"/>
        <w:ind w:left="122" w:right="607" w:firstLine="0"/>
      </w:pPr>
      <w:r>
        <w:t>The execution of the implementation plan shall be organised by the project managers listed in Annex 1 and regular evaluation and adjustment of the implementation plan shall be coordinated by the steering committee responsible for preparation and implementation of the university’s Strategic Plan, the development of the quality system and preparation for institutional accreditation.</w:t>
      </w:r>
    </w:p>
    <w:p w14:paraId="2B63D8BE" w14:textId="46F98620" w:rsidR="003505D9" w:rsidRDefault="00F63B32">
      <w:pPr>
        <w:pStyle w:val="ListParagraph"/>
        <w:numPr>
          <w:ilvl w:val="0"/>
          <w:numId w:val="1"/>
        </w:numPr>
        <w:tabs>
          <w:tab w:val="left" w:pos="351"/>
        </w:tabs>
        <w:spacing w:before="121"/>
        <w:ind w:left="122" w:right="324" w:firstLine="0"/>
      </w:pPr>
      <w:r>
        <w:t>The Rector shall review the achievement of the goals set out in the implementation plan and the Strategic Plan once a year. As part of the review, the area directors and deans shall provide an overview of their areas with regard to execution of the implementation plan and future plans and the action or implementation plans shall be adjusted, if necessary.</w:t>
      </w:r>
    </w:p>
    <w:p w14:paraId="2B63D8BF" w14:textId="77777777" w:rsidR="003505D9" w:rsidRDefault="00F63B32">
      <w:pPr>
        <w:pStyle w:val="BodyText"/>
        <w:spacing w:before="1"/>
      </w:pPr>
      <w:r>
        <w:t>The review shall be organised by the Rectorate Strategy Office.</w:t>
      </w:r>
    </w:p>
    <w:p w14:paraId="2B63D8C0" w14:textId="19C58B2F" w:rsidR="003505D9" w:rsidRDefault="00F63B32">
      <w:pPr>
        <w:pStyle w:val="ListParagraph"/>
        <w:numPr>
          <w:ilvl w:val="0"/>
          <w:numId w:val="1"/>
        </w:numPr>
        <w:tabs>
          <w:tab w:val="left" w:pos="351"/>
        </w:tabs>
        <w:ind w:hanging="229"/>
      </w:pPr>
      <w:r>
        <w:t xml:space="preserve">I approve the process of </w:t>
      </w:r>
      <w:r w:rsidR="00142169">
        <w:t xml:space="preserve">the </w:t>
      </w:r>
      <w:r>
        <w:t>management of changes and areas for improvement (</w:t>
      </w:r>
      <w:r w:rsidR="003B68CC">
        <w:t>Annex 2)</w:t>
      </w:r>
      <w:r>
        <w:t>.</w:t>
      </w:r>
    </w:p>
    <w:p w14:paraId="2B63D8C1" w14:textId="77777777" w:rsidR="003505D9" w:rsidRDefault="00F63B32">
      <w:pPr>
        <w:pStyle w:val="ListParagraph"/>
        <w:numPr>
          <w:ilvl w:val="0"/>
          <w:numId w:val="1"/>
        </w:numPr>
        <w:tabs>
          <w:tab w:val="left" w:pos="351"/>
        </w:tabs>
        <w:ind w:hanging="229"/>
      </w:pPr>
      <w:r>
        <w:t>The Directive shall enter into force upon signature.</w:t>
      </w:r>
    </w:p>
    <w:p w14:paraId="2B63D8C5" w14:textId="5E803517" w:rsidR="003505D9" w:rsidRDefault="003505D9">
      <w:pPr>
        <w:pStyle w:val="BodyText"/>
        <w:spacing w:before="121"/>
        <w:ind w:right="8747"/>
      </w:pPr>
    </w:p>
    <w:sectPr w:rsidR="003505D9">
      <w:type w:val="continuous"/>
      <w:pgSz w:w="11910" w:h="16840"/>
      <w:pgMar w:top="660" w:right="680" w:bottom="280" w:left="15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7C3A9F"/>
    <w:multiLevelType w:val="hybridMultilevel"/>
    <w:tmpl w:val="5D68DB12"/>
    <w:lvl w:ilvl="0" w:tplc="C77EB73A">
      <w:start w:val="1"/>
      <w:numFmt w:val="decimal"/>
      <w:lvlText w:val="%1."/>
      <w:lvlJc w:val="left"/>
      <w:pPr>
        <w:ind w:left="350" w:hanging="228"/>
      </w:pPr>
      <w:rPr>
        <w:rFonts w:ascii="Calibri" w:eastAsia="Calibri" w:hAnsi="Calibri" w:cs="Calibri" w:hint="default"/>
        <w:w w:val="100"/>
        <w:sz w:val="22"/>
        <w:szCs w:val="22"/>
        <w:lang w:val="et-EE" w:eastAsia="en-US" w:bidi="ar-SA"/>
      </w:rPr>
    </w:lvl>
    <w:lvl w:ilvl="1" w:tplc="B40E2260">
      <w:numFmt w:val="bullet"/>
      <w:lvlText w:val="•"/>
      <w:lvlJc w:val="left"/>
      <w:pPr>
        <w:ind w:left="1288" w:hanging="228"/>
      </w:pPr>
      <w:rPr>
        <w:rFonts w:hint="default"/>
        <w:lang w:val="et-EE" w:eastAsia="en-US" w:bidi="ar-SA"/>
      </w:rPr>
    </w:lvl>
    <w:lvl w:ilvl="2" w:tplc="32A098CC">
      <w:numFmt w:val="bullet"/>
      <w:lvlText w:val="•"/>
      <w:lvlJc w:val="left"/>
      <w:pPr>
        <w:ind w:left="2217" w:hanging="228"/>
      </w:pPr>
      <w:rPr>
        <w:rFonts w:hint="default"/>
        <w:lang w:val="et-EE" w:eastAsia="en-US" w:bidi="ar-SA"/>
      </w:rPr>
    </w:lvl>
    <w:lvl w:ilvl="3" w:tplc="582870C0">
      <w:numFmt w:val="bullet"/>
      <w:lvlText w:val="•"/>
      <w:lvlJc w:val="left"/>
      <w:pPr>
        <w:ind w:left="3145" w:hanging="228"/>
      </w:pPr>
      <w:rPr>
        <w:rFonts w:hint="default"/>
        <w:lang w:val="et-EE" w:eastAsia="en-US" w:bidi="ar-SA"/>
      </w:rPr>
    </w:lvl>
    <w:lvl w:ilvl="4" w:tplc="F2E60F70">
      <w:numFmt w:val="bullet"/>
      <w:lvlText w:val="•"/>
      <w:lvlJc w:val="left"/>
      <w:pPr>
        <w:ind w:left="4074" w:hanging="228"/>
      </w:pPr>
      <w:rPr>
        <w:rFonts w:hint="default"/>
        <w:lang w:val="et-EE" w:eastAsia="en-US" w:bidi="ar-SA"/>
      </w:rPr>
    </w:lvl>
    <w:lvl w:ilvl="5" w:tplc="B25E6580">
      <w:numFmt w:val="bullet"/>
      <w:lvlText w:val="•"/>
      <w:lvlJc w:val="left"/>
      <w:pPr>
        <w:ind w:left="5003" w:hanging="228"/>
      </w:pPr>
      <w:rPr>
        <w:rFonts w:hint="default"/>
        <w:lang w:val="et-EE" w:eastAsia="en-US" w:bidi="ar-SA"/>
      </w:rPr>
    </w:lvl>
    <w:lvl w:ilvl="6" w:tplc="51AA4068">
      <w:numFmt w:val="bullet"/>
      <w:lvlText w:val="•"/>
      <w:lvlJc w:val="left"/>
      <w:pPr>
        <w:ind w:left="5931" w:hanging="228"/>
      </w:pPr>
      <w:rPr>
        <w:rFonts w:hint="default"/>
        <w:lang w:val="et-EE" w:eastAsia="en-US" w:bidi="ar-SA"/>
      </w:rPr>
    </w:lvl>
    <w:lvl w:ilvl="7" w:tplc="4DF2BDA8">
      <w:numFmt w:val="bullet"/>
      <w:lvlText w:val="•"/>
      <w:lvlJc w:val="left"/>
      <w:pPr>
        <w:ind w:left="6860" w:hanging="228"/>
      </w:pPr>
      <w:rPr>
        <w:rFonts w:hint="default"/>
        <w:lang w:val="et-EE" w:eastAsia="en-US" w:bidi="ar-SA"/>
      </w:rPr>
    </w:lvl>
    <w:lvl w:ilvl="8" w:tplc="65AE5F20">
      <w:numFmt w:val="bullet"/>
      <w:lvlText w:val="•"/>
      <w:lvlJc w:val="left"/>
      <w:pPr>
        <w:ind w:left="7789" w:hanging="228"/>
      </w:pPr>
      <w:rPr>
        <w:rFonts w:hint="default"/>
        <w:lang w:val="et-EE" w:eastAsia="en-US" w:bidi="ar-SA"/>
      </w:rPr>
    </w:lvl>
  </w:abstractNum>
  <w:num w:numId="1" w16cid:durableId="418329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5D9"/>
    <w:rsid w:val="000076C5"/>
    <w:rsid w:val="000D3D2F"/>
    <w:rsid w:val="00142169"/>
    <w:rsid w:val="001C61C8"/>
    <w:rsid w:val="00264C9C"/>
    <w:rsid w:val="002A57E5"/>
    <w:rsid w:val="003505D9"/>
    <w:rsid w:val="00397EA5"/>
    <w:rsid w:val="003B68CC"/>
    <w:rsid w:val="004E058F"/>
    <w:rsid w:val="0054123C"/>
    <w:rsid w:val="00664357"/>
    <w:rsid w:val="006830DF"/>
    <w:rsid w:val="007340E0"/>
    <w:rsid w:val="00860D74"/>
    <w:rsid w:val="008B7885"/>
    <w:rsid w:val="00A33B6E"/>
    <w:rsid w:val="00AE448F"/>
    <w:rsid w:val="00B817AA"/>
    <w:rsid w:val="00BF6169"/>
    <w:rsid w:val="00CB50B9"/>
    <w:rsid w:val="00CB766D"/>
    <w:rsid w:val="00E356E8"/>
    <w:rsid w:val="00E8559E"/>
    <w:rsid w:val="00F63B32"/>
    <w:rsid w:val="00FA5334"/>
    <w:rsid w:val="00FE7F5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3D8B0"/>
  <w15:docId w15:val="{58D2743C-8529-4F68-9DAF-F78C50F3F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2"/>
    </w:pPr>
  </w:style>
  <w:style w:type="paragraph" w:styleId="Title">
    <w:name w:val="Title"/>
    <w:basedOn w:val="Normal"/>
    <w:uiPriority w:val="10"/>
    <w:qFormat/>
    <w:pPr>
      <w:spacing w:before="44"/>
      <w:ind w:left="122"/>
    </w:pPr>
    <w:rPr>
      <w:sz w:val="28"/>
      <w:szCs w:val="28"/>
    </w:rPr>
  </w:style>
  <w:style w:type="paragraph" w:styleId="ListParagraph">
    <w:name w:val="List Paragraph"/>
    <w:basedOn w:val="Normal"/>
    <w:uiPriority w:val="1"/>
    <w:qFormat/>
    <w:pPr>
      <w:spacing w:before="120"/>
      <w:ind w:left="350" w:hanging="22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8559E"/>
    <w:rPr>
      <w:color w:val="0000FF" w:themeColor="hyperlink"/>
      <w:u w:val="single"/>
    </w:rPr>
  </w:style>
  <w:style w:type="character" w:styleId="UnresolvedMention">
    <w:name w:val="Unresolved Mention"/>
    <w:basedOn w:val="DefaultParagraphFont"/>
    <w:uiPriority w:val="99"/>
    <w:semiHidden/>
    <w:unhideWhenUsed/>
    <w:rsid w:val="00E85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3272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Tallinna Tehnikaülikool</vt:lpstr>
    </vt:vector>
  </TitlesOfParts>
  <Company>Tallinn University of Technology</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Tallinna Tehnikaülikool</dc:title>
  <dc:creator>Laur Hiob</dc:creator>
  <cp:lastModifiedBy>Kairi Schütz</cp:lastModifiedBy>
  <cp:revision>3</cp:revision>
  <dcterms:created xsi:type="dcterms:W3CDTF">2024-07-18T12:39:00Z</dcterms:created>
  <dcterms:modified xsi:type="dcterms:W3CDTF">2024-07-18T12:51:00Z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2021-06-30T00:00:00Z</vt:filetime>
  </property>
  <property fmtid="{D5CDD505-2E9C-101B-9397-08002B2CF9AE}" pid="3" name="Creator">
    <vt:lpwstr>Microsoft® Word 2013</vt:lpwstr>
  </property>
  <property fmtid="{D5CDD505-2E9C-101B-9397-08002B2CF9AE}" pid="4" name="LastSaved">
    <vt:filetime>2021-08-31T00:00:00Z</vt:filetime>
  </property>
</Properties>
</file>