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A829" w14:textId="77777777" w:rsidR="0023265B" w:rsidRDefault="0023265B" w:rsidP="0023265B">
      <w:pPr>
        <w:pStyle w:val="Body"/>
        <w:jc w:val="right"/>
      </w:pPr>
      <w:r>
        <w:t xml:space="preserve">ALGTEKST-TERVIKTEKST </w:t>
      </w:r>
    </w:p>
    <w:p w14:paraId="74B90731" w14:textId="4FBB785F" w:rsidR="002D6A49" w:rsidRDefault="002D6A49" w:rsidP="0023265B">
      <w:pPr>
        <w:pStyle w:val="Body"/>
      </w:pPr>
      <w:r w:rsidRPr="00AB11BE">
        <w:t>K</w:t>
      </w:r>
      <w:r w:rsidR="0023265B">
        <w:t xml:space="preserve">innitatud </w:t>
      </w:r>
      <w:r w:rsidR="00DD57E9">
        <w:t>finantsjuh</w:t>
      </w:r>
      <w:r w:rsidR="0023265B">
        <w:t xml:space="preserve">i 03.02.2026 korraldusega </w:t>
      </w:r>
      <w:r w:rsidRPr="00AB11BE">
        <w:t>nr</w:t>
      </w:r>
      <w:r w:rsidR="0023265B">
        <w:t xml:space="preserve"> 22</w:t>
      </w:r>
    </w:p>
    <w:p w14:paraId="05574958" w14:textId="77777777" w:rsidR="0023265B" w:rsidRDefault="0023265B" w:rsidP="0023265B">
      <w:pPr>
        <w:pStyle w:val="Body"/>
      </w:pPr>
    </w:p>
    <w:p w14:paraId="61FB6DBC" w14:textId="122CCAF4" w:rsidR="0023265B" w:rsidRDefault="0023265B" w:rsidP="0023265B">
      <w:pPr>
        <w:pStyle w:val="Body"/>
      </w:pPr>
      <w:r w:rsidRPr="0023265B">
        <w:t>Redaktsiooni jõustumise kuupäev: 0</w:t>
      </w:r>
      <w:r>
        <w:t>1</w:t>
      </w:r>
      <w:r w:rsidRPr="0023265B">
        <w:t>.0</w:t>
      </w:r>
      <w:r>
        <w:t>1</w:t>
      </w:r>
      <w:r w:rsidRPr="0023265B">
        <w:t>.2026</w:t>
      </w:r>
    </w:p>
    <w:p w14:paraId="60652DD7" w14:textId="77777777" w:rsidR="006F46CD" w:rsidRPr="00AB11BE" w:rsidRDefault="006F46CD" w:rsidP="006A39A6">
      <w:pPr>
        <w:pStyle w:val="Body"/>
        <w:jc w:val="right"/>
      </w:pPr>
    </w:p>
    <w:p w14:paraId="249C71D7" w14:textId="74441BCE" w:rsidR="00B130E3" w:rsidRPr="00AC3CA1" w:rsidRDefault="00FA7FBD" w:rsidP="00D72E9E">
      <w:pPr>
        <w:pStyle w:val="Lisapealkiri"/>
        <w:tabs>
          <w:tab w:val="clear" w:pos="6521"/>
        </w:tabs>
        <w:rPr>
          <w:rFonts w:asciiTheme="minorHAnsi" w:hAnsiTheme="minorHAnsi" w:cstheme="minorHAnsi"/>
          <w:szCs w:val="22"/>
        </w:rPr>
      </w:pPr>
      <w:r w:rsidRPr="00AC3CA1">
        <w:rPr>
          <w:rFonts w:asciiTheme="minorHAnsi" w:hAnsiTheme="minorHAnsi" w:cstheme="minorHAnsi"/>
          <w:szCs w:val="22"/>
        </w:rPr>
        <w:t>Laborite hinnakirja koostamise metoodika</w:t>
      </w:r>
    </w:p>
    <w:p w14:paraId="3383672D" w14:textId="36C7C3A1" w:rsidR="00FA7FBD" w:rsidRPr="00AC3CA1" w:rsidRDefault="00FA7FBD" w:rsidP="00FA7FBD">
      <w:pPr>
        <w:pStyle w:val="BodyText"/>
        <w:spacing w:after="100" w:afterAutospacing="1"/>
        <w:rPr>
          <w:rFonts w:asciiTheme="minorHAnsi" w:hAnsiTheme="minorHAnsi" w:cstheme="minorHAnsi"/>
          <w:szCs w:val="22"/>
        </w:rPr>
      </w:pPr>
      <w:r w:rsidRPr="00AC3CA1">
        <w:rPr>
          <w:rFonts w:asciiTheme="minorHAnsi" w:hAnsiTheme="minorHAnsi" w:cstheme="minorHAnsi"/>
          <w:szCs w:val="22"/>
        </w:rPr>
        <w:t xml:space="preserve">Käesoleva metoodika eesmärk on kirjeldada põhimõtteid ja arvutusloogikat, mille alusel koostatakse Tallinna Tehnikaülikooli laboriteenuste hinnakirjad. Hinnakirja kasutatakse laboriteenuste ja seadmekasutuse kulude määramiseks nii </w:t>
      </w:r>
      <w:proofErr w:type="spellStart"/>
      <w:r w:rsidRPr="00AC3CA1">
        <w:rPr>
          <w:rFonts w:asciiTheme="minorHAnsi" w:hAnsiTheme="minorHAnsi" w:cstheme="minorHAnsi"/>
          <w:szCs w:val="22"/>
        </w:rPr>
        <w:t>sise</w:t>
      </w:r>
      <w:proofErr w:type="spellEnd"/>
      <w:r w:rsidRPr="00AC3CA1">
        <w:rPr>
          <w:rFonts w:asciiTheme="minorHAnsi" w:hAnsiTheme="minorHAnsi" w:cstheme="minorHAnsi"/>
          <w:szCs w:val="22"/>
        </w:rPr>
        <w:t xml:space="preserve">- kui </w:t>
      </w:r>
      <w:proofErr w:type="spellStart"/>
      <w:r w:rsidRPr="00AC3CA1">
        <w:rPr>
          <w:rFonts w:asciiTheme="minorHAnsi" w:hAnsiTheme="minorHAnsi" w:cstheme="minorHAnsi"/>
          <w:szCs w:val="22"/>
        </w:rPr>
        <w:t>välisklientidele</w:t>
      </w:r>
      <w:proofErr w:type="spellEnd"/>
      <w:r w:rsidRPr="00AC3CA1">
        <w:rPr>
          <w:rFonts w:asciiTheme="minorHAnsi" w:hAnsiTheme="minorHAnsi" w:cstheme="minorHAnsi"/>
          <w:szCs w:val="22"/>
        </w:rPr>
        <w:t>, sh teadusprojektide raames (nt Horisont Euroopa projektides).</w:t>
      </w:r>
    </w:p>
    <w:p w14:paraId="35753CD3" w14:textId="70B73E00" w:rsidR="00B130E3" w:rsidRPr="00AC3CA1" w:rsidRDefault="00FA7FBD" w:rsidP="00FA7FBD">
      <w:pPr>
        <w:pStyle w:val="Lisatekst"/>
        <w:spacing w:before="0" w:after="120"/>
        <w:rPr>
          <w:rFonts w:asciiTheme="minorHAnsi" w:hAnsiTheme="minorHAnsi" w:cstheme="minorHAnsi"/>
          <w:b/>
          <w:bCs/>
          <w:szCs w:val="22"/>
        </w:rPr>
      </w:pPr>
      <w:r w:rsidRPr="00AC3CA1">
        <w:rPr>
          <w:rFonts w:asciiTheme="minorHAnsi" w:hAnsiTheme="minorHAnsi" w:cstheme="minorHAnsi"/>
          <w:b/>
          <w:bCs/>
          <w:szCs w:val="22"/>
        </w:rPr>
        <w:t>Üldpõhimõtted</w:t>
      </w:r>
    </w:p>
    <w:p w14:paraId="780D2566" w14:textId="77777777" w:rsidR="00FA7FBD" w:rsidRPr="00AC3CA1" w:rsidRDefault="00FA7FBD" w:rsidP="00FA7FBD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Laboriteenuste hinnad peavad põhinema tegelikel, põhjendatud ja dokumenteeritud kuludel ning need arvutatakse vastavalt Tallinna Tehnikaülikooli tavapärastele ja järjepidevatele kuluarvestuse põhimõtetele, sõltumata rahastusallikast.</w:t>
      </w:r>
    </w:p>
    <w:p w14:paraId="2B60C247" w14:textId="77777777" w:rsidR="00FA7FBD" w:rsidRPr="00AC3CA1" w:rsidRDefault="00FA7FBD" w:rsidP="00FA7FBD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Hinnakiri koostatakse kulupõhiselt, ilma kasumimarginaali lisamata. Sisearvete hinnad ei tohi sisaldada allhanke ja üldkulu. </w:t>
      </w:r>
    </w:p>
    <w:p w14:paraId="3A09D9F6" w14:textId="77777777" w:rsidR="00FA7FBD" w:rsidRPr="00AC3CA1" w:rsidRDefault="00FA7FBD" w:rsidP="00FA7FBD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Sama hinnakirja ja arvutusmetoodikat rakendatakse võrdselt kõigile klientidele, sh teadusprojektidele, ettevõtetele ja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siseüksustele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>.</w:t>
      </w:r>
    </w:p>
    <w:p w14:paraId="26FB86BD" w14:textId="77777777" w:rsidR="00FA7FBD" w:rsidRPr="00AC3CA1" w:rsidRDefault="00FA7FBD" w:rsidP="00FA7FBD">
      <w:pPr>
        <w:numPr>
          <w:ilvl w:val="1"/>
          <w:numId w:val="8"/>
        </w:numPr>
        <w:spacing w:after="120" w:line="276" w:lineRule="auto"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Hinnakirja uuendatakse vähemalt üks kord aastas või kulubaasi olulisel muutusel.</w:t>
      </w:r>
    </w:p>
    <w:p w14:paraId="1A6CC85F" w14:textId="27F856B4" w:rsidR="00FA7FBD" w:rsidRPr="00AC3CA1" w:rsidRDefault="00FA7FBD" w:rsidP="00FA7FBD">
      <w:pPr>
        <w:pStyle w:val="ListParagraph"/>
        <w:keepNext/>
        <w:keepLines/>
        <w:numPr>
          <w:ilvl w:val="0"/>
          <w:numId w:val="8"/>
        </w:numPr>
        <w:spacing w:before="200" w:after="200" w:line="276" w:lineRule="auto"/>
        <w:outlineLvl w:val="1"/>
        <w:rPr>
          <w:rFonts w:asciiTheme="minorHAnsi" w:eastAsia="MS Gothic" w:hAnsiTheme="minorHAnsi" w:cstheme="minorHAnsi"/>
          <w:b/>
          <w:bCs/>
          <w:szCs w:val="22"/>
          <w:lang w:eastAsia="en-US"/>
        </w:rPr>
      </w:pPr>
      <w:r w:rsidRPr="00AC3CA1">
        <w:rPr>
          <w:rFonts w:asciiTheme="minorHAnsi" w:eastAsia="MS Gothic" w:hAnsiTheme="minorHAnsi" w:cstheme="minorHAnsi"/>
          <w:b/>
          <w:bCs/>
          <w:szCs w:val="22"/>
          <w:lang w:eastAsia="en-US"/>
        </w:rPr>
        <w:t>Hinna arvutuse komponendid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7FBD" w:rsidRPr="00AC3CA1" w14:paraId="4B1099E7" w14:textId="77777777">
        <w:tc>
          <w:tcPr>
            <w:tcW w:w="2880" w:type="dxa"/>
            <w:hideMark/>
          </w:tcPr>
          <w:p w14:paraId="5A4F9178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b/>
                <w:bCs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b/>
                <w:bCs/>
                <w:szCs w:val="22"/>
                <w:lang w:eastAsia="en-US"/>
              </w:rPr>
              <w:t>Kululiik</w:t>
            </w:r>
          </w:p>
        </w:tc>
        <w:tc>
          <w:tcPr>
            <w:tcW w:w="2880" w:type="dxa"/>
            <w:hideMark/>
          </w:tcPr>
          <w:p w14:paraId="398C81D6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b/>
                <w:bCs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b/>
                <w:bCs/>
                <w:szCs w:val="22"/>
                <w:lang w:eastAsia="en-US"/>
              </w:rPr>
              <w:t>Kirjeldus</w:t>
            </w:r>
          </w:p>
        </w:tc>
        <w:tc>
          <w:tcPr>
            <w:tcW w:w="2880" w:type="dxa"/>
            <w:hideMark/>
          </w:tcPr>
          <w:p w14:paraId="5E5DAF07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b/>
                <w:bCs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b/>
                <w:bCs/>
                <w:szCs w:val="22"/>
                <w:lang w:eastAsia="en-US"/>
              </w:rPr>
              <w:t>Arvutusallikas</w:t>
            </w:r>
          </w:p>
        </w:tc>
      </w:tr>
      <w:tr w:rsidR="00FA7FBD" w:rsidRPr="00AC3CA1" w14:paraId="538AF3D9" w14:textId="77777777">
        <w:tc>
          <w:tcPr>
            <w:tcW w:w="2880" w:type="dxa"/>
            <w:hideMark/>
          </w:tcPr>
          <w:p w14:paraId="56ECFE25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Tööjõukulu</w:t>
            </w:r>
          </w:p>
        </w:tc>
        <w:tc>
          <w:tcPr>
            <w:tcW w:w="2880" w:type="dxa"/>
            <w:hideMark/>
          </w:tcPr>
          <w:p w14:paraId="5CDEB95E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Teenuse osutamisega seotud töötajate palk ja maksud.</w:t>
            </w:r>
          </w:p>
        </w:tc>
        <w:tc>
          <w:tcPr>
            <w:tcW w:w="2880" w:type="dxa"/>
            <w:hideMark/>
          </w:tcPr>
          <w:p w14:paraId="677A2283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Palgaarvestus, tööajaarvestus</w:t>
            </w:r>
          </w:p>
        </w:tc>
      </w:tr>
      <w:tr w:rsidR="00FA7FBD" w:rsidRPr="00AC3CA1" w14:paraId="68615F50" w14:textId="77777777">
        <w:tc>
          <w:tcPr>
            <w:tcW w:w="2880" w:type="dxa"/>
            <w:hideMark/>
          </w:tcPr>
          <w:p w14:paraId="14B9BA21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Seadmete amortisatsioon</w:t>
            </w:r>
          </w:p>
        </w:tc>
        <w:tc>
          <w:tcPr>
            <w:tcW w:w="2880" w:type="dxa"/>
            <w:hideMark/>
          </w:tcPr>
          <w:p w14:paraId="342645DA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Seadme maksumuse jaotamine kasuliku eluea jooksul</w:t>
            </w:r>
          </w:p>
        </w:tc>
        <w:tc>
          <w:tcPr>
            <w:tcW w:w="2880" w:type="dxa"/>
            <w:hideMark/>
          </w:tcPr>
          <w:p w14:paraId="3B528913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Raamatupidamine, põhivara register</w:t>
            </w:r>
          </w:p>
        </w:tc>
      </w:tr>
      <w:tr w:rsidR="00FA7FBD" w:rsidRPr="00AC3CA1" w14:paraId="45052065" w14:textId="77777777">
        <w:tc>
          <w:tcPr>
            <w:tcW w:w="2880" w:type="dxa"/>
            <w:hideMark/>
          </w:tcPr>
          <w:p w14:paraId="7A926FDA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Hooldus ja remont</w:t>
            </w:r>
          </w:p>
        </w:tc>
        <w:tc>
          <w:tcPr>
            <w:tcW w:w="2880" w:type="dxa"/>
            <w:hideMark/>
          </w:tcPr>
          <w:p w14:paraId="5ED9FEB2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Regulaarsed hoolduskulud, kalibreerimine</w:t>
            </w:r>
          </w:p>
        </w:tc>
        <w:tc>
          <w:tcPr>
            <w:tcW w:w="2880" w:type="dxa"/>
            <w:hideMark/>
          </w:tcPr>
          <w:p w14:paraId="6C0CE048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Hoolduslepingud, arved</w:t>
            </w:r>
          </w:p>
        </w:tc>
      </w:tr>
      <w:tr w:rsidR="00FA7FBD" w:rsidRPr="00AC3CA1" w14:paraId="3C2563F4" w14:textId="77777777">
        <w:tc>
          <w:tcPr>
            <w:tcW w:w="2880" w:type="dxa"/>
            <w:hideMark/>
          </w:tcPr>
          <w:p w14:paraId="70B88E71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Energia ja tarbekaubad</w:t>
            </w:r>
          </w:p>
        </w:tc>
        <w:tc>
          <w:tcPr>
            <w:tcW w:w="2880" w:type="dxa"/>
            <w:hideMark/>
          </w:tcPr>
          <w:p w14:paraId="733D7763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Elektrikulu, reagendid, gaasid, tarvikud</w:t>
            </w:r>
          </w:p>
        </w:tc>
        <w:tc>
          <w:tcPr>
            <w:tcW w:w="2880" w:type="dxa"/>
            <w:hideMark/>
          </w:tcPr>
          <w:p w14:paraId="181A185D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Eelarvestatud keskmised kulud või tegelikud tarbimised</w:t>
            </w:r>
          </w:p>
        </w:tc>
      </w:tr>
      <w:tr w:rsidR="00FA7FBD" w:rsidRPr="00AC3CA1" w14:paraId="154D67B4" w14:textId="77777777">
        <w:tc>
          <w:tcPr>
            <w:tcW w:w="2880" w:type="dxa"/>
            <w:hideMark/>
          </w:tcPr>
          <w:p w14:paraId="01785C04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Üldkulud (kaudkulud)</w:t>
            </w:r>
          </w:p>
        </w:tc>
        <w:tc>
          <w:tcPr>
            <w:tcW w:w="2880" w:type="dxa"/>
            <w:hideMark/>
          </w:tcPr>
          <w:p w14:paraId="016EA6CD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Labori haldus, ruumide ülalpidamine, tugiteenused</w:t>
            </w:r>
          </w:p>
        </w:tc>
        <w:tc>
          <w:tcPr>
            <w:tcW w:w="2880" w:type="dxa"/>
            <w:hideMark/>
          </w:tcPr>
          <w:p w14:paraId="0D01B36F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Üldkulu protsent või jagatud kulu baasil</w:t>
            </w:r>
          </w:p>
        </w:tc>
      </w:tr>
    </w:tbl>
    <w:p w14:paraId="55901C55" w14:textId="15F24DB4" w:rsidR="00FA7FBD" w:rsidRPr="00AC3CA1" w:rsidRDefault="00FA7FBD" w:rsidP="00E9149A">
      <w:pPr>
        <w:pStyle w:val="ListParagraph"/>
        <w:keepNext/>
        <w:keepLines/>
        <w:numPr>
          <w:ilvl w:val="0"/>
          <w:numId w:val="8"/>
        </w:numPr>
        <w:spacing w:line="360" w:lineRule="auto"/>
        <w:ind w:left="0" w:firstLine="0"/>
        <w:outlineLvl w:val="1"/>
        <w:rPr>
          <w:rFonts w:asciiTheme="minorHAnsi" w:eastAsia="MS Gothic" w:hAnsiTheme="minorHAnsi" w:cstheme="minorHAnsi"/>
          <w:b/>
          <w:bCs/>
          <w:szCs w:val="22"/>
          <w:lang w:eastAsia="en-US"/>
        </w:rPr>
      </w:pPr>
      <w:r w:rsidRPr="00AC3CA1">
        <w:rPr>
          <w:rFonts w:asciiTheme="minorHAnsi" w:eastAsia="MS Gothic" w:hAnsiTheme="minorHAnsi" w:cstheme="minorHAnsi"/>
          <w:b/>
          <w:bCs/>
          <w:szCs w:val="22"/>
          <w:lang w:eastAsia="en-US"/>
        </w:rPr>
        <w:t>Arvutusmeetod</w:t>
      </w:r>
    </w:p>
    <w:p w14:paraId="5C587A13" w14:textId="7EE216BC" w:rsidR="00FA7FBD" w:rsidRPr="00AC3CA1" w:rsidRDefault="00FA7FBD" w:rsidP="00E9149A">
      <w:pPr>
        <w:spacing w:line="360" w:lineRule="auto"/>
        <w:rPr>
          <w:rFonts w:asciiTheme="minorHAnsi" w:hAnsiTheme="minorHAnsi" w:cstheme="minorHAnsi"/>
          <w:szCs w:val="22"/>
        </w:rPr>
      </w:pPr>
      <w:r w:rsidRPr="00AC3CA1">
        <w:rPr>
          <w:rFonts w:asciiTheme="minorHAnsi" w:hAnsiTheme="minorHAnsi" w:cstheme="minorHAnsi"/>
          <w:szCs w:val="22"/>
        </w:rPr>
        <w:t>Teenuse ühikuhind arvutatakse järgnevalt:</w:t>
      </w:r>
      <w:r w:rsidRPr="00AC3CA1">
        <w:rPr>
          <w:rFonts w:asciiTheme="minorHAnsi" w:hAnsiTheme="minorHAnsi" w:cstheme="minorHAnsi"/>
          <w:szCs w:val="22"/>
        </w:rPr>
        <w:br/>
      </w:r>
      <w:proofErr w:type="spellStart"/>
      <w:r w:rsidRPr="00AC3CA1">
        <w:rPr>
          <w:rFonts w:asciiTheme="minorHAnsi" w:hAnsiTheme="minorHAnsi" w:cstheme="minorHAnsi"/>
          <w:szCs w:val="22"/>
        </w:rPr>
        <w:t>Hind_ühik</w:t>
      </w:r>
      <w:proofErr w:type="spellEnd"/>
      <w:r w:rsidRPr="00AC3CA1">
        <w:rPr>
          <w:rFonts w:asciiTheme="minorHAnsi" w:hAnsiTheme="minorHAnsi" w:cstheme="minorHAnsi"/>
          <w:szCs w:val="22"/>
        </w:rPr>
        <w:t xml:space="preserve"> = (Tööjõukulu + Seadme </w:t>
      </w:r>
      <w:proofErr w:type="spellStart"/>
      <w:r w:rsidRPr="00AC3CA1">
        <w:rPr>
          <w:rFonts w:asciiTheme="minorHAnsi" w:hAnsiTheme="minorHAnsi" w:cstheme="minorHAnsi"/>
          <w:szCs w:val="22"/>
        </w:rPr>
        <w:t>amort</w:t>
      </w:r>
      <w:proofErr w:type="spellEnd"/>
      <w:r w:rsidRPr="00AC3CA1">
        <w:rPr>
          <w:rFonts w:asciiTheme="minorHAnsi" w:hAnsiTheme="minorHAnsi" w:cstheme="minorHAnsi"/>
          <w:szCs w:val="22"/>
        </w:rPr>
        <w:t xml:space="preserve"> + Hooldus + Tarbekaubad + Energiakulu + Üldkulud) / Teenuse ühikute arv aastas</w:t>
      </w:r>
      <w:r w:rsidR="007E2985">
        <w:rPr>
          <w:rFonts w:asciiTheme="minorHAnsi" w:hAnsiTheme="minorHAnsi" w:cstheme="minorHAnsi"/>
          <w:szCs w:val="22"/>
        </w:rPr>
        <w:t xml:space="preserve"> </w:t>
      </w:r>
      <w:r w:rsidRPr="00AC3CA1">
        <w:rPr>
          <w:rFonts w:asciiTheme="minorHAnsi" w:hAnsiTheme="minorHAnsi" w:cstheme="minorHAnsi"/>
          <w:szCs w:val="22"/>
        </w:rPr>
        <w:t>kus 'teenuse ühik' võib olla näiteks seadme kasutustund, (proovi)analüüs või mõõtmistsükkel.</w:t>
      </w:r>
    </w:p>
    <w:p w14:paraId="395E3DED" w14:textId="6F4EAEE1" w:rsidR="00FA7FBD" w:rsidRPr="00AC3CA1" w:rsidRDefault="00FA7FBD" w:rsidP="00FA7FBD">
      <w:pPr>
        <w:pStyle w:val="ListParagraph"/>
        <w:keepNext/>
        <w:keepLines/>
        <w:numPr>
          <w:ilvl w:val="0"/>
          <w:numId w:val="8"/>
        </w:numPr>
        <w:spacing w:before="200" w:after="200" w:line="276" w:lineRule="auto"/>
        <w:outlineLvl w:val="1"/>
        <w:rPr>
          <w:rFonts w:asciiTheme="minorHAnsi" w:eastAsia="MS Gothic" w:hAnsiTheme="minorHAnsi" w:cstheme="minorHAnsi"/>
          <w:b/>
          <w:bCs/>
          <w:szCs w:val="22"/>
          <w:lang w:eastAsia="en-US"/>
        </w:rPr>
      </w:pPr>
      <w:r w:rsidRPr="00AC3CA1">
        <w:rPr>
          <w:rFonts w:asciiTheme="minorHAnsi" w:eastAsia="MS Gothic" w:hAnsiTheme="minorHAnsi" w:cstheme="minorHAnsi"/>
          <w:b/>
          <w:bCs/>
          <w:szCs w:val="22"/>
          <w:lang w:eastAsia="en-US"/>
        </w:rPr>
        <w:t>Arvutuskäigu näide</w:t>
      </w:r>
    </w:p>
    <w:p w14:paraId="6F7A83CA" w14:textId="77777777" w:rsidR="00FA7FBD" w:rsidRPr="00AC3CA1" w:rsidRDefault="00FA7FBD" w:rsidP="00FA7FBD">
      <w:pPr>
        <w:spacing w:after="200" w:line="276" w:lineRule="auto"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Seadme kasutustunni hind: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A7FBD" w:rsidRPr="00AC3CA1" w14:paraId="2A4835C6" w14:textId="77777777">
        <w:tc>
          <w:tcPr>
            <w:tcW w:w="4320" w:type="dxa"/>
            <w:hideMark/>
          </w:tcPr>
          <w:p w14:paraId="4A1EBC4A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lastRenderedPageBreak/>
              <w:t>Kululiik</w:t>
            </w:r>
          </w:p>
        </w:tc>
        <w:tc>
          <w:tcPr>
            <w:tcW w:w="4320" w:type="dxa"/>
            <w:hideMark/>
          </w:tcPr>
          <w:p w14:paraId="182A4FE8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Summa (€) / aasta</w:t>
            </w:r>
          </w:p>
        </w:tc>
      </w:tr>
      <w:tr w:rsidR="00FA7FBD" w:rsidRPr="00AC3CA1" w14:paraId="45B5AF32" w14:textId="77777777">
        <w:tc>
          <w:tcPr>
            <w:tcW w:w="4320" w:type="dxa"/>
            <w:hideMark/>
          </w:tcPr>
          <w:p w14:paraId="2F43B324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 xml:space="preserve">Seadme </w:t>
            </w:r>
            <w:proofErr w:type="spellStart"/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amort</w:t>
            </w:r>
            <w:proofErr w:type="spellEnd"/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 xml:space="preserve"> (10 a eluiga, hind 100 000 €)</w:t>
            </w:r>
          </w:p>
        </w:tc>
        <w:tc>
          <w:tcPr>
            <w:tcW w:w="4320" w:type="dxa"/>
            <w:hideMark/>
          </w:tcPr>
          <w:p w14:paraId="533C271F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10 000</w:t>
            </w:r>
          </w:p>
        </w:tc>
      </w:tr>
      <w:tr w:rsidR="00FA7FBD" w:rsidRPr="00AC3CA1" w14:paraId="6B512BE5" w14:textId="77777777">
        <w:tc>
          <w:tcPr>
            <w:tcW w:w="4320" w:type="dxa"/>
            <w:hideMark/>
          </w:tcPr>
          <w:p w14:paraId="660EF052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Hooldus ja kalibreerimine</w:t>
            </w:r>
          </w:p>
        </w:tc>
        <w:tc>
          <w:tcPr>
            <w:tcW w:w="4320" w:type="dxa"/>
            <w:hideMark/>
          </w:tcPr>
          <w:p w14:paraId="66266DDA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3 000</w:t>
            </w:r>
          </w:p>
        </w:tc>
      </w:tr>
      <w:tr w:rsidR="00FA7FBD" w:rsidRPr="00AC3CA1" w14:paraId="5DCDAF28" w14:textId="77777777">
        <w:tc>
          <w:tcPr>
            <w:tcW w:w="4320" w:type="dxa"/>
            <w:hideMark/>
          </w:tcPr>
          <w:p w14:paraId="240DD905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Energia ja tarvikud</w:t>
            </w:r>
          </w:p>
        </w:tc>
        <w:tc>
          <w:tcPr>
            <w:tcW w:w="4320" w:type="dxa"/>
            <w:hideMark/>
          </w:tcPr>
          <w:p w14:paraId="424B4CCA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1 000</w:t>
            </w:r>
          </w:p>
        </w:tc>
      </w:tr>
      <w:tr w:rsidR="00FA7FBD" w:rsidRPr="00AC3CA1" w14:paraId="4E72FB11" w14:textId="77777777">
        <w:tc>
          <w:tcPr>
            <w:tcW w:w="4320" w:type="dxa"/>
            <w:hideMark/>
          </w:tcPr>
          <w:p w14:paraId="36C58034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Laborandi töö (0,1 ametikohta)</w:t>
            </w:r>
          </w:p>
        </w:tc>
        <w:tc>
          <w:tcPr>
            <w:tcW w:w="4320" w:type="dxa"/>
            <w:hideMark/>
          </w:tcPr>
          <w:p w14:paraId="51D4093B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5 000*</w:t>
            </w:r>
          </w:p>
        </w:tc>
      </w:tr>
      <w:tr w:rsidR="00FA7FBD" w:rsidRPr="00AC3CA1" w14:paraId="4598C7F2" w14:textId="77777777">
        <w:tc>
          <w:tcPr>
            <w:tcW w:w="4320" w:type="dxa"/>
            <w:hideMark/>
          </w:tcPr>
          <w:p w14:paraId="2C16A4D4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Üldkulud (20%)</w:t>
            </w:r>
          </w:p>
        </w:tc>
        <w:tc>
          <w:tcPr>
            <w:tcW w:w="4320" w:type="dxa"/>
            <w:hideMark/>
          </w:tcPr>
          <w:p w14:paraId="7BBE10D5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3 800**</w:t>
            </w:r>
          </w:p>
        </w:tc>
      </w:tr>
      <w:tr w:rsidR="00FA7FBD" w:rsidRPr="00AC3CA1" w14:paraId="3CB3FEF8" w14:textId="77777777">
        <w:tc>
          <w:tcPr>
            <w:tcW w:w="4320" w:type="dxa"/>
            <w:hideMark/>
          </w:tcPr>
          <w:p w14:paraId="113B5F77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Kokku</w:t>
            </w:r>
          </w:p>
        </w:tc>
        <w:tc>
          <w:tcPr>
            <w:tcW w:w="4320" w:type="dxa"/>
            <w:hideMark/>
          </w:tcPr>
          <w:p w14:paraId="2DCA15D3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22 800 € / aasta</w:t>
            </w:r>
          </w:p>
        </w:tc>
      </w:tr>
      <w:tr w:rsidR="00FA7FBD" w:rsidRPr="00AC3CA1" w14:paraId="14EF4349" w14:textId="77777777">
        <w:tc>
          <w:tcPr>
            <w:tcW w:w="4320" w:type="dxa"/>
            <w:hideMark/>
          </w:tcPr>
          <w:p w14:paraId="6049363A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Kasutustunnid aastas</w:t>
            </w:r>
          </w:p>
        </w:tc>
        <w:tc>
          <w:tcPr>
            <w:tcW w:w="4320" w:type="dxa"/>
            <w:hideMark/>
          </w:tcPr>
          <w:p w14:paraId="73B22982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1 000</w:t>
            </w:r>
          </w:p>
        </w:tc>
      </w:tr>
      <w:tr w:rsidR="00FA7FBD" w:rsidRPr="00AC3CA1" w14:paraId="0C6B06FA" w14:textId="77777777">
        <w:tc>
          <w:tcPr>
            <w:tcW w:w="4320" w:type="dxa"/>
            <w:hideMark/>
          </w:tcPr>
          <w:p w14:paraId="39F50017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Hind/tund</w:t>
            </w:r>
          </w:p>
        </w:tc>
        <w:tc>
          <w:tcPr>
            <w:tcW w:w="4320" w:type="dxa"/>
            <w:hideMark/>
          </w:tcPr>
          <w:p w14:paraId="07115185" w14:textId="77777777" w:rsidR="00FA7FBD" w:rsidRPr="00AC3CA1" w:rsidRDefault="00FA7FBD" w:rsidP="00FA7FBD">
            <w:pPr>
              <w:spacing w:after="200" w:line="276" w:lineRule="auto"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22,8 €/tund</w:t>
            </w:r>
          </w:p>
          <w:p w14:paraId="3E7102A7" w14:textId="77777777" w:rsidR="00FA7FBD" w:rsidRPr="00AC3CA1" w:rsidRDefault="00FA7FBD" w:rsidP="00FA7FBD">
            <w:pPr>
              <w:spacing w:after="200" w:line="276" w:lineRule="auto"/>
              <w:ind w:left="720"/>
              <w:contextualSpacing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 xml:space="preserve">*Tööjõukulu muutub iga-aastaselt vastavalt kollektiivlepingus sätestatule </w:t>
            </w:r>
          </w:p>
          <w:p w14:paraId="107FA85F" w14:textId="77777777" w:rsidR="00FA7FBD" w:rsidRPr="00AC3CA1" w:rsidRDefault="00FA7FBD" w:rsidP="00FA7FBD">
            <w:pPr>
              <w:spacing w:after="200" w:line="276" w:lineRule="auto"/>
              <w:ind w:left="720"/>
              <w:contextualSpacing/>
              <w:rPr>
                <w:rFonts w:asciiTheme="minorHAnsi" w:eastAsia="MS Mincho" w:hAnsiTheme="minorHAnsi" w:cstheme="minorHAnsi"/>
                <w:szCs w:val="22"/>
                <w:lang w:eastAsia="en-US"/>
              </w:rPr>
            </w:pPr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 xml:space="preserve">** Euroopa Komisjoni rahastatud projektide puhul jäetakse üldkulude komponent </w:t>
            </w:r>
            <w:proofErr w:type="spellStart"/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>sisearvete</w:t>
            </w:r>
            <w:proofErr w:type="spellEnd"/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 xml:space="preserve"> ühikuhinna arvestusest välja, kuna need kaetakse kaudkulude </w:t>
            </w:r>
            <w:proofErr w:type="spellStart"/>
            <w:r w:rsidRPr="00AC3CA1">
              <w:rPr>
                <w:rFonts w:asciiTheme="minorHAnsi" w:eastAsia="MS Mincho" w:hAnsiTheme="minorHAnsi" w:cstheme="minorHAnsi"/>
                <w:i/>
                <w:iCs/>
                <w:szCs w:val="22"/>
                <w:lang w:eastAsia="en-US"/>
              </w:rPr>
              <w:t>flat-rate</w:t>
            </w:r>
            <w:proofErr w:type="spellEnd"/>
            <w:r w:rsidRPr="00AC3CA1">
              <w:rPr>
                <w:rFonts w:asciiTheme="minorHAnsi" w:eastAsia="MS Mincho" w:hAnsiTheme="minorHAnsi" w:cstheme="minorHAnsi"/>
                <w:szCs w:val="22"/>
                <w:lang w:eastAsia="en-US"/>
              </w:rPr>
              <w:t xml:space="preserve"> kaudu</w:t>
            </w:r>
          </w:p>
        </w:tc>
      </w:tr>
    </w:tbl>
    <w:p w14:paraId="00F75CB9" w14:textId="068DE121" w:rsidR="00FA7FBD" w:rsidRPr="00AC3CA1" w:rsidRDefault="00FA7FBD" w:rsidP="00604573">
      <w:pPr>
        <w:pStyle w:val="ListParagraph"/>
        <w:keepNext/>
        <w:keepLines/>
        <w:numPr>
          <w:ilvl w:val="0"/>
          <w:numId w:val="8"/>
        </w:numPr>
        <w:spacing w:line="360" w:lineRule="auto"/>
        <w:ind w:left="0" w:firstLine="0"/>
        <w:outlineLvl w:val="1"/>
        <w:rPr>
          <w:rFonts w:asciiTheme="minorHAnsi" w:eastAsia="MS Gothic" w:hAnsiTheme="minorHAnsi" w:cstheme="minorHAnsi"/>
          <w:b/>
          <w:bCs/>
          <w:szCs w:val="22"/>
          <w:lang w:eastAsia="en-US"/>
        </w:rPr>
      </w:pPr>
      <w:r w:rsidRPr="00AC3CA1">
        <w:rPr>
          <w:rFonts w:asciiTheme="minorHAnsi" w:eastAsia="MS Gothic" w:hAnsiTheme="minorHAnsi" w:cstheme="minorHAnsi"/>
          <w:b/>
          <w:bCs/>
          <w:szCs w:val="22"/>
          <w:lang w:eastAsia="en-US"/>
        </w:rPr>
        <w:t>Andmeallikad ja dokumenteerimine</w:t>
      </w:r>
    </w:p>
    <w:p w14:paraId="2CACC5A7" w14:textId="77777777" w:rsidR="00FA7FBD" w:rsidRDefault="00FA7FBD" w:rsidP="00604573">
      <w:pPr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Kõik kulukomponendid peavad põhinema kontrollitavatel andmetel: raamatupidamise kanded, hooldus- ja teenuselepingud, tööaja arvestus, energiatarbimise andmed ja amortisatsiooniarvestus. Arvutuste ja andmete säilitamise eest vastutab labori juhataja või määratud finantskoordinaator.</w:t>
      </w:r>
    </w:p>
    <w:p w14:paraId="2871C291" w14:textId="77777777" w:rsidR="00604573" w:rsidRPr="00AC3CA1" w:rsidRDefault="00604573" w:rsidP="00604573">
      <w:pPr>
        <w:rPr>
          <w:rFonts w:asciiTheme="minorHAnsi" w:eastAsia="MS Mincho" w:hAnsiTheme="minorHAnsi" w:cstheme="minorHAnsi"/>
          <w:szCs w:val="22"/>
          <w:lang w:eastAsia="en-US"/>
        </w:rPr>
      </w:pPr>
    </w:p>
    <w:p w14:paraId="7B276418" w14:textId="4494C9DE" w:rsidR="00FA7FBD" w:rsidRPr="00AC3CA1" w:rsidRDefault="00FA7FBD" w:rsidP="0052012C">
      <w:pPr>
        <w:pStyle w:val="ListParagraph"/>
        <w:keepNext/>
        <w:keepLines/>
        <w:numPr>
          <w:ilvl w:val="0"/>
          <w:numId w:val="9"/>
        </w:numPr>
        <w:spacing w:line="360" w:lineRule="auto"/>
        <w:ind w:left="57" w:hanging="57"/>
        <w:outlineLvl w:val="1"/>
        <w:rPr>
          <w:rFonts w:asciiTheme="minorHAnsi" w:eastAsia="MS Gothic" w:hAnsiTheme="minorHAnsi" w:cstheme="minorHAnsi"/>
          <w:b/>
          <w:bCs/>
          <w:szCs w:val="22"/>
          <w:lang w:eastAsia="en-US"/>
        </w:rPr>
      </w:pPr>
      <w:r w:rsidRPr="00AC3CA1">
        <w:rPr>
          <w:rFonts w:asciiTheme="minorHAnsi" w:eastAsia="MS Gothic" w:hAnsiTheme="minorHAnsi" w:cstheme="minorHAnsi"/>
          <w:b/>
          <w:bCs/>
          <w:szCs w:val="22"/>
          <w:lang w:eastAsia="en-US"/>
        </w:rPr>
        <w:t>Hinnakirja kehtestamine ja rakendamine</w:t>
      </w:r>
    </w:p>
    <w:p w14:paraId="09C9758D" w14:textId="77777777" w:rsidR="00980C0B" w:rsidRDefault="00FA7FBD" w:rsidP="0052012C">
      <w:pPr>
        <w:numPr>
          <w:ilvl w:val="1"/>
          <w:numId w:val="9"/>
        </w:numPr>
        <w:ind w:left="57" w:hanging="57"/>
        <w:contextualSpacing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Hinnakirja metoodika kinnitab finantsjuht.</w:t>
      </w:r>
    </w:p>
    <w:p w14:paraId="05A6BCDF" w14:textId="0DF4F78C" w:rsidR="00FA7FBD" w:rsidRPr="00980C0B" w:rsidRDefault="00FA7FBD" w:rsidP="0052012C">
      <w:pPr>
        <w:numPr>
          <w:ilvl w:val="1"/>
          <w:numId w:val="9"/>
        </w:numPr>
        <w:ind w:left="57" w:hanging="57"/>
        <w:contextualSpacing/>
        <w:rPr>
          <w:rFonts w:asciiTheme="minorHAnsi" w:eastAsia="MS Mincho" w:hAnsiTheme="minorHAnsi" w:cstheme="minorHAnsi"/>
          <w:szCs w:val="22"/>
          <w:lang w:eastAsia="en-US"/>
        </w:rPr>
      </w:pPr>
      <w:r w:rsidRPr="00980C0B">
        <w:rPr>
          <w:rFonts w:asciiTheme="minorHAnsi" w:eastAsia="MS Mincho" w:hAnsiTheme="minorHAnsi" w:cstheme="minorHAnsi"/>
          <w:szCs w:val="22"/>
          <w:lang w:eastAsia="en-US"/>
        </w:rPr>
        <w:t>Konkreetse labori hinnakirja kinnitab vastava struktuuriüksuse juht.</w:t>
      </w:r>
    </w:p>
    <w:p w14:paraId="68A866BD" w14:textId="77777777" w:rsidR="00FA7FBD" w:rsidRPr="00AC3CA1" w:rsidRDefault="00FA7FBD" w:rsidP="0052012C">
      <w:pPr>
        <w:numPr>
          <w:ilvl w:val="1"/>
          <w:numId w:val="9"/>
        </w:numPr>
        <w:ind w:left="57" w:hanging="57"/>
        <w:contextualSpacing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Kehtiv hinnakiri tehakse kättesaadavaks asutuse sisevõrgus või kodulehel.</w:t>
      </w:r>
    </w:p>
    <w:p w14:paraId="1F7A558D" w14:textId="77777777" w:rsidR="00FA7FBD" w:rsidRPr="00AC3CA1" w:rsidRDefault="00FA7FBD" w:rsidP="0052012C">
      <w:pPr>
        <w:numPr>
          <w:ilvl w:val="1"/>
          <w:numId w:val="9"/>
        </w:numPr>
        <w:ind w:left="57" w:hanging="57"/>
        <w:contextualSpacing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Teenuste osutamisel rakendatakse alati kinnitatud hinnakirja hindu.</w:t>
      </w:r>
    </w:p>
    <w:p w14:paraId="3330C37C" w14:textId="77777777" w:rsidR="00FA7FBD" w:rsidRPr="00AC3CA1" w:rsidRDefault="00FA7FBD" w:rsidP="0052012C">
      <w:pPr>
        <w:numPr>
          <w:ilvl w:val="1"/>
          <w:numId w:val="9"/>
        </w:numPr>
        <w:ind w:left="57" w:hanging="57"/>
        <w:contextualSpacing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Kõik muudatused dokumenteeritakse ja säilitatakse auditeerimise eesmärgil vähemalt 5 aastat.</w:t>
      </w:r>
    </w:p>
    <w:p w14:paraId="70C84DE7" w14:textId="77777777" w:rsidR="00FA7FBD" w:rsidRDefault="00FA7FBD" w:rsidP="0052012C">
      <w:pPr>
        <w:numPr>
          <w:ilvl w:val="1"/>
          <w:numId w:val="9"/>
        </w:numPr>
        <w:ind w:left="57" w:hanging="57"/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Metoodika hakkab kehtima alates 1. jaanuar 2026.</w:t>
      </w:r>
    </w:p>
    <w:p w14:paraId="58AA59BC" w14:textId="77777777" w:rsidR="0052012C" w:rsidRPr="00AC3CA1" w:rsidRDefault="0052012C" w:rsidP="0052012C">
      <w:pPr>
        <w:ind w:left="57"/>
        <w:rPr>
          <w:rFonts w:asciiTheme="minorHAnsi" w:eastAsia="MS Mincho" w:hAnsiTheme="minorHAnsi" w:cstheme="minorHAnsi"/>
          <w:szCs w:val="22"/>
          <w:lang w:eastAsia="en-US"/>
        </w:rPr>
      </w:pPr>
    </w:p>
    <w:p w14:paraId="4F61794C" w14:textId="5A7E3F85" w:rsidR="00FA7FBD" w:rsidRPr="00AC3CA1" w:rsidRDefault="00FA7FBD" w:rsidP="00604573">
      <w:pPr>
        <w:pStyle w:val="ListParagraph"/>
        <w:keepNext/>
        <w:keepLines/>
        <w:numPr>
          <w:ilvl w:val="0"/>
          <w:numId w:val="9"/>
        </w:numPr>
        <w:spacing w:line="360" w:lineRule="auto"/>
        <w:outlineLvl w:val="1"/>
        <w:rPr>
          <w:rFonts w:asciiTheme="minorHAnsi" w:eastAsia="MS Gothic" w:hAnsiTheme="minorHAnsi" w:cstheme="minorHAnsi"/>
          <w:b/>
          <w:bCs/>
          <w:szCs w:val="22"/>
          <w:lang w:eastAsia="en-US"/>
        </w:rPr>
      </w:pPr>
      <w:r w:rsidRPr="00AC3CA1">
        <w:rPr>
          <w:rFonts w:asciiTheme="minorHAnsi" w:eastAsia="MS Gothic" w:hAnsiTheme="minorHAnsi" w:cstheme="minorHAnsi"/>
          <w:b/>
          <w:bCs/>
          <w:szCs w:val="22"/>
          <w:lang w:eastAsia="en-US"/>
        </w:rPr>
        <w:t>Vastavus Euroopa Komisjoni nõuetele</w:t>
      </w:r>
    </w:p>
    <w:p w14:paraId="6977457A" w14:textId="60C55A93" w:rsidR="00FA7FBD" w:rsidRDefault="00FA7FBD" w:rsidP="00AF6139">
      <w:pPr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Käesolev metoodika vastab Euroopa Komisjoni Horizon Europe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Annotated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Model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 Grant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Agreement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 artikli 6.2.D.2 („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Internally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invoiced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goods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 and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services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>“) tingimustele, mille kohaselt hinnad peavad põhinema tegelikel kuludel, olema dokumenteeritud ja süsteemselt rakendatavad ning välistama kasumi tekkimise.</w:t>
      </w:r>
    </w:p>
    <w:p w14:paraId="0D874AA3" w14:textId="77777777" w:rsidR="00AF6139" w:rsidRPr="00AC3CA1" w:rsidRDefault="00AF6139" w:rsidP="00AF6139">
      <w:pPr>
        <w:rPr>
          <w:rFonts w:asciiTheme="minorHAnsi" w:eastAsia="MS Mincho" w:hAnsiTheme="minorHAnsi" w:cstheme="minorHAnsi"/>
          <w:szCs w:val="22"/>
          <w:lang w:eastAsia="en-US"/>
        </w:rPr>
      </w:pPr>
    </w:p>
    <w:p w14:paraId="1FB1569A" w14:textId="649A8BFA" w:rsidR="00FA7FBD" w:rsidRPr="00AC3CA1" w:rsidRDefault="00FA7FBD" w:rsidP="0052012C">
      <w:pPr>
        <w:pStyle w:val="ListParagraph"/>
        <w:keepNext/>
        <w:keepLines/>
        <w:numPr>
          <w:ilvl w:val="0"/>
          <w:numId w:val="9"/>
        </w:numPr>
        <w:spacing w:line="360" w:lineRule="auto"/>
        <w:outlineLvl w:val="1"/>
        <w:rPr>
          <w:rFonts w:asciiTheme="minorHAnsi" w:eastAsia="MS Mincho" w:hAnsiTheme="minorHAnsi" w:cstheme="minorHAnsi"/>
          <w:b/>
          <w:bCs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b/>
          <w:bCs/>
          <w:szCs w:val="22"/>
          <w:lang w:eastAsia="en-US"/>
        </w:rPr>
        <w:t>Eritingimused</w:t>
      </w:r>
    </w:p>
    <w:p w14:paraId="71542064" w14:textId="5007370F" w:rsidR="00FA7FBD" w:rsidRPr="00AC3CA1" w:rsidRDefault="00FA7FBD" w:rsidP="0052012C">
      <w:pPr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>Käesoleva metoodika üldpõhimõtetest võib teha erisusi juhul, kui labori või taristu</w:t>
      </w:r>
    </w:p>
    <w:p w14:paraId="436BA359" w14:textId="77777777" w:rsidR="00FA7FBD" w:rsidRPr="00AC3CA1" w:rsidRDefault="00FA7FBD" w:rsidP="0052012C">
      <w:pPr>
        <w:rPr>
          <w:rFonts w:asciiTheme="minorHAnsi" w:eastAsia="MS Mincho" w:hAnsiTheme="minorHAnsi" w:cstheme="minorHAnsi"/>
          <w:szCs w:val="22"/>
          <w:lang w:eastAsia="en-US"/>
        </w:rPr>
      </w:pPr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rahastamismudel erineb tavapärasest või kui teenuse iseloom nõuab teistsugust kulupõhist arvestust. Erisused peavad olema dokumenteeritud, kulupõhised, kasumita ning tagama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topeltrahastuse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 vältimise ja kulude </w:t>
      </w:r>
      <w:proofErr w:type="spellStart"/>
      <w:r w:rsidRPr="00AC3CA1">
        <w:rPr>
          <w:rFonts w:asciiTheme="minorHAnsi" w:eastAsia="MS Mincho" w:hAnsiTheme="minorHAnsi" w:cstheme="minorHAnsi"/>
          <w:szCs w:val="22"/>
          <w:lang w:eastAsia="en-US"/>
        </w:rPr>
        <w:t>auditeeritavuse</w:t>
      </w:r>
      <w:proofErr w:type="spellEnd"/>
      <w:r w:rsidRPr="00AC3CA1">
        <w:rPr>
          <w:rFonts w:asciiTheme="minorHAnsi" w:eastAsia="MS Mincho" w:hAnsiTheme="minorHAnsi" w:cstheme="minorHAnsi"/>
          <w:szCs w:val="22"/>
          <w:lang w:eastAsia="en-US"/>
        </w:rPr>
        <w:t xml:space="preserve">. Erisused kinnitab eelnevalt finantsjuht. </w:t>
      </w:r>
    </w:p>
    <w:p w14:paraId="6DAB34FB" w14:textId="77777777" w:rsidR="00B130E3" w:rsidRPr="00AC3CA1" w:rsidRDefault="00B130E3" w:rsidP="00EF3512">
      <w:pPr>
        <w:rPr>
          <w:rFonts w:asciiTheme="minorHAnsi" w:hAnsiTheme="minorHAnsi" w:cstheme="minorHAnsi"/>
          <w:szCs w:val="22"/>
        </w:rPr>
      </w:pPr>
    </w:p>
    <w:sectPr w:rsidR="00B130E3" w:rsidRPr="00AC3CA1" w:rsidSect="00FF5E7A">
      <w:headerReference w:type="even" r:id="rId11"/>
      <w:headerReference w:type="default" r:id="rId12"/>
      <w:footerReference w:type="even" r:id="rId13"/>
      <w:pgSz w:w="11906" w:h="16838" w:code="9"/>
      <w:pgMar w:top="680" w:right="851" w:bottom="680" w:left="1701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BEB9" w14:textId="77777777" w:rsidR="006B4127" w:rsidRDefault="006B4127">
      <w:r>
        <w:separator/>
      </w:r>
    </w:p>
  </w:endnote>
  <w:endnote w:type="continuationSeparator" w:id="0">
    <w:p w14:paraId="02C369ED" w14:textId="77777777" w:rsidR="006B4127" w:rsidRDefault="006B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E666" w14:textId="77777777" w:rsidR="00ED665B" w:rsidRDefault="00522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17A0B" w14:textId="77777777" w:rsidR="00ED665B" w:rsidRDefault="00ED6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646B" w14:textId="77777777" w:rsidR="006B4127" w:rsidRDefault="006B4127">
      <w:r>
        <w:separator/>
      </w:r>
    </w:p>
  </w:footnote>
  <w:footnote w:type="continuationSeparator" w:id="0">
    <w:p w14:paraId="5EEA7367" w14:textId="77777777" w:rsidR="006B4127" w:rsidRDefault="006B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CCE7" w14:textId="77777777" w:rsidR="00ED665B" w:rsidRDefault="0052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2A106" w14:textId="77777777" w:rsidR="00ED665B" w:rsidRDefault="00ED6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16147"/>
      <w:docPartObj>
        <w:docPartGallery w:val="Page Numbers (Top of Page)"/>
        <w:docPartUnique/>
      </w:docPartObj>
    </w:sdtPr>
    <w:sdtEndPr/>
    <w:sdtContent>
      <w:p w14:paraId="4B3E00D7" w14:textId="77777777" w:rsidR="00FF5E7A" w:rsidRDefault="00FF5E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A0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12027A1"/>
    <w:multiLevelType w:val="multilevel"/>
    <w:tmpl w:val="C074BB1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50416C5"/>
    <w:multiLevelType w:val="multilevel"/>
    <w:tmpl w:val="E2E8652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6F01877"/>
    <w:multiLevelType w:val="multilevel"/>
    <w:tmpl w:val="2586F0D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23638672">
    <w:abstractNumId w:val="5"/>
  </w:num>
  <w:num w:numId="2" w16cid:durableId="1300837844">
    <w:abstractNumId w:val="7"/>
  </w:num>
  <w:num w:numId="3" w16cid:durableId="854684432">
    <w:abstractNumId w:val="0"/>
  </w:num>
  <w:num w:numId="4" w16cid:durableId="1373847558">
    <w:abstractNumId w:val="1"/>
  </w:num>
  <w:num w:numId="5" w16cid:durableId="1364138730">
    <w:abstractNumId w:val="3"/>
  </w:num>
  <w:num w:numId="6" w16cid:durableId="1793555847">
    <w:abstractNumId w:val="3"/>
  </w:num>
  <w:num w:numId="7" w16cid:durableId="917903556">
    <w:abstractNumId w:val="2"/>
  </w:num>
  <w:num w:numId="8" w16cid:durableId="2099708366">
    <w:abstractNumId w:val="4"/>
  </w:num>
  <w:num w:numId="9" w16cid:durableId="48501298">
    <w:abstractNumId w:val="6"/>
  </w:num>
  <w:num w:numId="10" w16cid:durableId="831264233">
    <w:abstractNumId w:val="2"/>
    <w:lvlOverride w:ilvl="0">
      <w:startOverride w:val="6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BD"/>
    <w:rsid w:val="000103F7"/>
    <w:rsid w:val="0002350E"/>
    <w:rsid w:val="00054ECA"/>
    <w:rsid w:val="00076C16"/>
    <w:rsid w:val="00097848"/>
    <w:rsid w:val="000A0A25"/>
    <w:rsid w:val="000A52ED"/>
    <w:rsid w:val="000C6FF9"/>
    <w:rsid w:val="00140340"/>
    <w:rsid w:val="0014041B"/>
    <w:rsid w:val="00150C12"/>
    <w:rsid w:val="00164D61"/>
    <w:rsid w:val="00191180"/>
    <w:rsid w:val="001D05E5"/>
    <w:rsid w:val="001E7223"/>
    <w:rsid w:val="00203A79"/>
    <w:rsid w:val="00207301"/>
    <w:rsid w:val="00207D15"/>
    <w:rsid w:val="002216AF"/>
    <w:rsid w:val="0023265B"/>
    <w:rsid w:val="00276CFC"/>
    <w:rsid w:val="0029000F"/>
    <w:rsid w:val="0029184D"/>
    <w:rsid w:val="002B4BCA"/>
    <w:rsid w:val="002C4618"/>
    <w:rsid w:val="002D1948"/>
    <w:rsid w:val="002D6A49"/>
    <w:rsid w:val="00316C57"/>
    <w:rsid w:val="00371A8A"/>
    <w:rsid w:val="0037527E"/>
    <w:rsid w:val="003A498C"/>
    <w:rsid w:val="003E2946"/>
    <w:rsid w:val="00442948"/>
    <w:rsid w:val="00450B27"/>
    <w:rsid w:val="00456613"/>
    <w:rsid w:val="00465E46"/>
    <w:rsid w:val="00467EC0"/>
    <w:rsid w:val="004803F4"/>
    <w:rsid w:val="004C1221"/>
    <w:rsid w:val="004F7D4E"/>
    <w:rsid w:val="0052012C"/>
    <w:rsid w:val="00520B85"/>
    <w:rsid w:val="00522694"/>
    <w:rsid w:val="00524CD9"/>
    <w:rsid w:val="00533C50"/>
    <w:rsid w:val="00586DFD"/>
    <w:rsid w:val="00591CBF"/>
    <w:rsid w:val="005D0605"/>
    <w:rsid w:val="005F7BD6"/>
    <w:rsid w:val="00604573"/>
    <w:rsid w:val="00605A0F"/>
    <w:rsid w:val="00606C85"/>
    <w:rsid w:val="006125D6"/>
    <w:rsid w:val="00633EBE"/>
    <w:rsid w:val="006725D6"/>
    <w:rsid w:val="006823BD"/>
    <w:rsid w:val="006905AC"/>
    <w:rsid w:val="006A39A6"/>
    <w:rsid w:val="006B4127"/>
    <w:rsid w:val="006B56B1"/>
    <w:rsid w:val="006B76F8"/>
    <w:rsid w:val="006C54D8"/>
    <w:rsid w:val="006C7894"/>
    <w:rsid w:val="006D01D7"/>
    <w:rsid w:val="006F46CD"/>
    <w:rsid w:val="00727B13"/>
    <w:rsid w:val="007334D7"/>
    <w:rsid w:val="007670EA"/>
    <w:rsid w:val="00781A97"/>
    <w:rsid w:val="00786982"/>
    <w:rsid w:val="00791492"/>
    <w:rsid w:val="007C3E0F"/>
    <w:rsid w:val="007E2985"/>
    <w:rsid w:val="007F6352"/>
    <w:rsid w:val="008062FB"/>
    <w:rsid w:val="00816F21"/>
    <w:rsid w:val="00843834"/>
    <w:rsid w:val="00852451"/>
    <w:rsid w:val="008B1943"/>
    <w:rsid w:val="008C2E19"/>
    <w:rsid w:val="008F2669"/>
    <w:rsid w:val="009001F4"/>
    <w:rsid w:val="009052CA"/>
    <w:rsid w:val="00923170"/>
    <w:rsid w:val="00954D81"/>
    <w:rsid w:val="00980C0B"/>
    <w:rsid w:val="009B17A2"/>
    <w:rsid w:val="009C577C"/>
    <w:rsid w:val="009C72C6"/>
    <w:rsid w:val="00A457BC"/>
    <w:rsid w:val="00A717DD"/>
    <w:rsid w:val="00A738C7"/>
    <w:rsid w:val="00A831C3"/>
    <w:rsid w:val="00AB11BE"/>
    <w:rsid w:val="00AB48A9"/>
    <w:rsid w:val="00AC3CA1"/>
    <w:rsid w:val="00AF6139"/>
    <w:rsid w:val="00B11E2C"/>
    <w:rsid w:val="00B130E3"/>
    <w:rsid w:val="00B25946"/>
    <w:rsid w:val="00B41ACF"/>
    <w:rsid w:val="00B53498"/>
    <w:rsid w:val="00B67A8F"/>
    <w:rsid w:val="00B80B14"/>
    <w:rsid w:val="00BA0AEF"/>
    <w:rsid w:val="00BA128A"/>
    <w:rsid w:val="00BD4626"/>
    <w:rsid w:val="00BE21E2"/>
    <w:rsid w:val="00C11566"/>
    <w:rsid w:val="00C166C2"/>
    <w:rsid w:val="00C31C6B"/>
    <w:rsid w:val="00C33EF1"/>
    <w:rsid w:val="00C436F1"/>
    <w:rsid w:val="00C713DD"/>
    <w:rsid w:val="00C8347D"/>
    <w:rsid w:val="00CC4872"/>
    <w:rsid w:val="00CE69D1"/>
    <w:rsid w:val="00D157AF"/>
    <w:rsid w:val="00D410EA"/>
    <w:rsid w:val="00D455C8"/>
    <w:rsid w:val="00D778E2"/>
    <w:rsid w:val="00D87EB6"/>
    <w:rsid w:val="00D91251"/>
    <w:rsid w:val="00D972D6"/>
    <w:rsid w:val="00DD57E9"/>
    <w:rsid w:val="00DE1C36"/>
    <w:rsid w:val="00E10C17"/>
    <w:rsid w:val="00E11CC8"/>
    <w:rsid w:val="00E23337"/>
    <w:rsid w:val="00E36265"/>
    <w:rsid w:val="00E9149A"/>
    <w:rsid w:val="00EC7BDD"/>
    <w:rsid w:val="00ED665B"/>
    <w:rsid w:val="00ED7575"/>
    <w:rsid w:val="00EE1D8B"/>
    <w:rsid w:val="00EF3512"/>
    <w:rsid w:val="00F04451"/>
    <w:rsid w:val="00F16E2F"/>
    <w:rsid w:val="00F27045"/>
    <w:rsid w:val="00F61DAC"/>
    <w:rsid w:val="00F84234"/>
    <w:rsid w:val="00F84CA9"/>
    <w:rsid w:val="00FA7FBD"/>
    <w:rsid w:val="00FD1D20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3A4A0A8D"/>
  <w15:docId w15:val="{94745CCA-E590-4F97-824E-B62B0B9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3BD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C72C6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1">
    <w:name w:val="Pealkiri1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BE21E2"/>
  </w:style>
  <w:style w:type="paragraph" w:customStyle="1" w:styleId="Allkirjastatuddigit">
    <w:name w:val="Allkirjastatud digit"/>
    <w:basedOn w:val="BodyText"/>
    <w:qFormat/>
    <w:rsid w:val="00B130E3"/>
    <w:pPr>
      <w:spacing w:before="480" w:after="120"/>
    </w:pPr>
  </w:style>
  <w:style w:type="paragraph" w:customStyle="1" w:styleId="Lisatekst">
    <w:name w:val="Lisatekst"/>
    <w:basedOn w:val="BodyText"/>
    <w:rsid w:val="00B130E3"/>
    <w:pPr>
      <w:numPr>
        <w:numId w:val="7"/>
      </w:numPr>
      <w:tabs>
        <w:tab w:val="left" w:pos="6521"/>
      </w:tabs>
      <w:spacing w:before="120"/>
    </w:pPr>
  </w:style>
  <w:style w:type="paragraph" w:customStyle="1" w:styleId="Body">
    <w:name w:val="Body"/>
    <w:basedOn w:val="BodyText"/>
    <w:rsid w:val="00B130E3"/>
    <w:pPr>
      <w:tabs>
        <w:tab w:val="left" w:pos="6521"/>
      </w:tabs>
    </w:pPr>
  </w:style>
  <w:style w:type="paragraph" w:customStyle="1" w:styleId="Lisapealkiri">
    <w:name w:val="Lisapealkiri"/>
    <w:basedOn w:val="BodyText"/>
    <w:next w:val="BodyText"/>
    <w:qFormat/>
    <w:rsid w:val="00B130E3"/>
    <w:pPr>
      <w:tabs>
        <w:tab w:val="left" w:pos="6521"/>
      </w:tabs>
      <w:spacing w:before="280" w:after="280"/>
    </w:pPr>
    <w:rPr>
      <w:b/>
    </w:rPr>
  </w:style>
  <w:style w:type="paragraph" w:customStyle="1" w:styleId="BodyTextees">
    <w:name w:val="Body Text ees"/>
    <w:basedOn w:val="BodyText"/>
    <w:qFormat/>
    <w:rsid w:val="00B130E3"/>
    <w:pPr>
      <w:tabs>
        <w:tab w:val="left" w:pos="6521"/>
      </w:tabs>
      <w:spacing w:before="120"/>
    </w:pPr>
  </w:style>
  <w:style w:type="paragraph" w:customStyle="1" w:styleId="LisaBodyt">
    <w:name w:val="LisaBodyt"/>
    <w:basedOn w:val="Bodyt"/>
    <w:qFormat/>
    <w:rsid w:val="00BA128A"/>
    <w:pPr>
      <w:numPr>
        <w:numId w:val="7"/>
      </w:numPr>
      <w:spacing w:before="40"/>
    </w:pPr>
  </w:style>
  <w:style w:type="paragraph" w:customStyle="1" w:styleId="LisaBodyt2">
    <w:name w:val="LisaBodyt2"/>
    <w:basedOn w:val="LisaBodyt"/>
    <w:qFormat/>
    <w:rsid w:val="00BA128A"/>
    <w:pPr>
      <w:numPr>
        <w:ilvl w:val="2"/>
      </w:numPr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A39A6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9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1C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1FD6AF7FC424189B0BAF161424567" ma:contentTypeVersion="4" ma:contentTypeDescription="Create a new document." ma:contentTypeScope="" ma:versionID="890c181fe961f01c74ffed0c313c5593">
  <xsd:schema xmlns:xsd="http://www.w3.org/2001/XMLSchema" xmlns:xs="http://www.w3.org/2001/XMLSchema" xmlns:p="http://schemas.microsoft.com/office/2006/metadata/properties" xmlns:ns2="566746a8-eac2-41fe-b884-0b6d892bfce3" targetNamespace="http://schemas.microsoft.com/office/2006/metadata/properties" ma:root="true" ma:fieldsID="24793e4df6c72c157a7aebf8b2a17da1" ns2:_="">
    <xsd:import namespace="566746a8-eac2-41fe-b884-0b6d892bf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46a8-eac2-41fe-b884-0b6d892b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61EC6-C53C-406A-81B9-B00C86E0D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A5388-20E9-4784-A9D3-DA0765DD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FC184-5BEE-4CE5-868A-731C1A0E2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E5688-642E-474E-B97C-7DF309FC5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746a8-eac2-41fe-b884-0b6d892bf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Tallinna Tehnikaülikool</vt:lpstr>
      <vt:lpstr>    Hinna arvutuse komponendid</vt:lpstr>
      <vt:lpstr>    Arvutusmeetod</vt:lpstr>
      <vt:lpstr>    Arvutuskäigu näide</vt:lpstr>
      <vt:lpstr>    Andmeallikad ja dokumenteerimine</vt:lpstr>
      <vt:lpstr>    Hinnakirja kehtestamine ja rakendamine</vt:lpstr>
      <vt:lpstr>    7. Vastavus Euroopa Komisjoni nõuetele</vt:lpstr>
    </vt:vector>
  </TitlesOfParts>
  <Company>TTY  Informaatikainstituut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Elika Pukk</dc:creator>
  <cp:keywords/>
  <dc:description/>
  <cp:lastModifiedBy>Kairi Schütz</cp:lastModifiedBy>
  <cp:revision>2</cp:revision>
  <cp:lastPrinted>2018-10-02T09:59:00Z</cp:lastPrinted>
  <dcterms:created xsi:type="dcterms:W3CDTF">2026-02-03T08:18:00Z</dcterms:created>
  <dcterms:modified xsi:type="dcterms:W3CDTF">2026-02-03T08:18:00Z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0x0101008E41FD6AF7FC424189B0BAF161424567</vt:lpwstr>
  </property>
</Properties>
</file>