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0A7C" w14:textId="157829B0" w:rsidR="00037F0E" w:rsidRDefault="00037F0E" w:rsidP="00037F0E">
      <w:pPr>
        <w:pStyle w:val="Tallinn"/>
        <w:tabs>
          <w:tab w:val="left" w:pos="6237"/>
        </w:tabs>
        <w:jc w:val="right"/>
      </w:pPr>
      <w:r>
        <w:t>FULL TEXT</w:t>
      </w:r>
    </w:p>
    <w:p w14:paraId="15733BA2" w14:textId="5B242D77" w:rsidR="00E7551A" w:rsidRDefault="00037F0E" w:rsidP="00037F0E">
      <w:pPr>
        <w:pStyle w:val="Tallinn"/>
        <w:tabs>
          <w:tab w:val="left" w:pos="6237"/>
        </w:tabs>
        <w:spacing w:before="0" w:after="0"/>
      </w:pPr>
      <w:r>
        <w:t>Approved by Rector’s directive No 20 of 11 July 2025</w:t>
      </w:r>
      <w:r w:rsidR="00A5366F">
        <w:t xml:space="preserve"> (</w:t>
      </w:r>
      <w:r w:rsidR="00B963B9">
        <w:t xml:space="preserve">entry into </w:t>
      </w:r>
      <w:r w:rsidR="00FA55CC">
        <w:t>0</w:t>
      </w:r>
      <w:r w:rsidR="00B963B9">
        <w:t xml:space="preserve">1 August </w:t>
      </w:r>
      <w:r w:rsidR="00FA55CC">
        <w:t>2025)</w:t>
      </w:r>
      <w:r w:rsidR="00126D9A">
        <w:br/>
        <w:t>Amended by Rector’s directive No 5 of 2</w:t>
      </w:r>
      <w:r w:rsidR="00A5366F">
        <w:t xml:space="preserve">3 </w:t>
      </w:r>
      <w:r w:rsidR="00A5366F" w:rsidRPr="00A5366F">
        <w:t>January</w:t>
      </w:r>
      <w:r w:rsidR="00126D9A">
        <w:t xml:space="preserve"> 2026</w:t>
      </w:r>
    </w:p>
    <w:p w14:paraId="604B5190" w14:textId="77777777" w:rsidR="00037F0E" w:rsidRDefault="00037F0E" w:rsidP="00037F0E">
      <w:pPr>
        <w:pStyle w:val="BodyText"/>
      </w:pPr>
    </w:p>
    <w:p w14:paraId="38D24D97" w14:textId="5BE376CC" w:rsidR="00037F0E" w:rsidRDefault="00037F0E" w:rsidP="00037F0E">
      <w:pPr>
        <w:pStyle w:val="BodyText"/>
      </w:pPr>
      <w:r>
        <w:t xml:space="preserve">In force from: </w:t>
      </w:r>
      <w:r w:rsidR="00FC7FC6">
        <w:t>23.0</w:t>
      </w:r>
      <w:r w:rsidR="00B963B9">
        <w:t>1</w:t>
      </w:r>
      <w:r w:rsidR="00FC7FC6">
        <w:t>.2026</w:t>
      </w:r>
    </w:p>
    <w:p w14:paraId="098418BC" w14:textId="77777777" w:rsidR="00037F0E" w:rsidRPr="00037F0E" w:rsidRDefault="00037F0E" w:rsidP="00037F0E">
      <w:pPr>
        <w:pStyle w:val="BodyText"/>
      </w:pPr>
    </w:p>
    <w:p w14:paraId="00C36E0D" w14:textId="75CAE513" w:rsidR="00E7551A" w:rsidRDefault="006503AD" w:rsidP="00037F0E">
      <w:pPr>
        <w:pStyle w:val="Pealkiri1"/>
        <w:spacing w:before="0" w:after="0"/>
        <w:ind w:right="0"/>
        <w:rPr>
          <w:b/>
          <w:bCs/>
        </w:rPr>
      </w:pPr>
      <w:r>
        <w:rPr>
          <w:b/>
        </w:rPr>
        <w:t>Appointment of heads of areas of responsibility, and designation of their fields of activity and subordinate structural units</w:t>
      </w:r>
    </w:p>
    <w:p w14:paraId="7027BD20" w14:textId="77777777" w:rsidR="00037F0E" w:rsidRPr="00037F0E" w:rsidRDefault="00037F0E" w:rsidP="00037F0E">
      <w:pPr>
        <w:pStyle w:val="BodyText"/>
      </w:pPr>
    </w:p>
    <w:p w14:paraId="44A76F44" w14:textId="60A80EFB" w:rsidR="006503AD" w:rsidRPr="00017FA2" w:rsidRDefault="006503AD" w:rsidP="00477F32">
      <w:pPr>
        <w:pStyle w:val="Tekst"/>
      </w:pPr>
      <w:r>
        <w:t>Pursuant to clause 8 of § 11 and clause 13(2)1</w:t>
      </w:r>
      <w:r w:rsidR="00FE12E2">
        <w:t>)</w:t>
      </w:r>
      <w:r>
        <w:t xml:space="preserve"> of the Statutes of Tallinn University of Technology,</w:t>
      </w:r>
    </w:p>
    <w:p w14:paraId="344B64D3" w14:textId="77777777" w:rsidR="006503AD" w:rsidRPr="00017FA2" w:rsidRDefault="006503AD" w:rsidP="006503AD">
      <w:pPr>
        <w:pStyle w:val="Loetelu"/>
      </w:pPr>
      <w:r>
        <w:t xml:space="preserve">I hereby appoint the heads of areas of responsibility as follows: </w:t>
      </w:r>
    </w:p>
    <w:p w14:paraId="4B67B543" w14:textId="2841163E" w:rsidR="006503AD" w:rsidRDefault="006503AD" w:rsidP="006503AD">
      <w:pPr>
        <w:pStyle w:val="Bodyt"/>
        <w:spacing w:before="20"/>
        <w:jc w:val="both"/>
      </w:pPr>
      <w:r>
        <w:t>Vice-Rector for Research – Professor Jarek Kurnitski,</w:t>
      </w:r>
    </w:p>
    <w:p w14:paraId="64A1B789" w14:textId="45614407" w:rsidR="006503AD" w:rsidRPr="00017FA2" w:rsidRDefault="006503AD" w:rsidP="006503AD">
      <w:pPr>
        <w:pStyle w:val="Bodyt"/>
        <w:spacing w:before="20"/>
        <w:jc w:val="both"/>
      </w:pPr>
      <w:r>
        <w:t>Vice-Rector for Academic Affairs – Professor Ingrid Pappel;</w:t>
      </w:r>
    </w:p>
    <w:p w14:paraId="2B0AE7B3" w14:textId="0653F6F4" w:rsidR="006503AD" w:rsidRDefault="006503AD" w:rsidP="006503AD">
      <w:pPr>
        <w:pStyle w:val="Bodyt"/>
        <w:jc w:val="both"/>
      </w:pPr>
      <w:r>
        <w:t>Vice-Rector for Entrepreneurship – Erik Puura;</w:t>
      </w:r>
    </w:p>
    <w:p w14:paraId="5C678B34" w14:textId="5E35B3DF" w:rsidR="006503AD" w:rsidRPr="00017FA2" w:rsidRDefault="006503AD" w:rsidP="006503AD">
      <w:pPr>
        <w:pStyle w:val="Bodyt"/>
        <w:jc w:val="both"/>
      </w:pPr>
      <w:r>
        <w:t>Vice-Rector for Development and Student Affairs – Hendrik Voll;</w:t>
      </w:r>
    </w:p>
    <w:p w14:paraId="0B54272E" w14:textId="08330485" w:rsidR="006503AD" w:rsidRPr="00017FA2" w:rsidRDefault="006503AD" w:rsidP="006503AD">
      <w:pPr>
        <w:pStyle w:val="Bodyt"/>
        <w:jc w:val="both"/>
      </w:pPr>
      <w:r>
        <w:t>Director for Administration – Tea Trahov.</w:t>
      </w:r>
    </w:p>
    <w:p w14:paraId="366FC8A8" w14:textId="77777777" w:rsidR="006503AD" w:rsidRPr="00017FA2" w:rsidRDefault="006503AD" w:rsidP="006503AD">
      <w:pPr>
        <w:pStyle w:val="Loetelu"/>
        <w:jc w:val="both"/>
      </w:pPr>
      <w:r>
        <w:t xml:space="preserve">I hereby designate the fields of activity of the heads of areas of responsibility and their subordinate structural units as follows: </w:t>
      </w: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3"/>
        <w:gridCol w:w="4253"/>
        <w:gridCol w:w="2835"/>
      </w:tblGrid>
      <w:tr w:rsidR="006503AD" w:rsidRPr="00017FA2" w14:paraId="6AFE2290" w14:textId="77777777" w:rsidTr="00C117A2">
        <w:trPr>
          <w:trHeight w:val="300"/>
        </w:trPr>
        <w:tc>
          <w:tcPr>
            <w:tcW w:w="2263" w:type="dxa"/>
            <w:vAlign w:val="center"/>
            <w:hideMark/>
          </w:tcPr>
          <w:p w14:paraId="7971B0AA" w14:textId="77777777" w:rsidR="006503AD" w:rsidRPr="00017FA2" w:rsidRDefault="006503AD" w:rsidP="00C117A2">
            <w:pPr>
              <w:rPr>
                <w:rFonts w:asciiTheme="minorHAnsi" w:hAnsiTheme="minorHAnsi" w:cstheme="minorHAnsi"/>
                <w:bCs/>
                <w:szCs w:val="22"/>
              </w:rPr>
            </w:pPr>
            <w:r>
              <w:rPr>
                <w:rFonts w:asciiTheme="minorHAnsi" w:hAnsiTheme="minorHAnsi"/>
              </w:rPr>
              <w:t>Position</w:t>
            </w:r>
          </w:p>
        </w:tc>
        <w:tc>
          <w:tcPr>
            <w:tcW w:w="4253" w:type="dxa"/>
            <w:vAlign w:val="center"/>
            <w:hideMark/>
          </w:tcPr>
          <w:p w14:paraId="19936F95" w14:textId="77777777" w:rsidR="006503AD" w:rsidRPr="00017FA2" w:rsidRDefault="006503AD" w:rsidP="00C117A2">
            <w:pPr>
              <w:rPr>
                <w:rFonts w:asciiTheme="minorHAnsi" w:hAnsiTheme="minorHAnsi" w:cstheme="minorHAnsi"/>
                <w:bCs/>
                <w:szCs w:val="22"/>
              </w:rPr>
            </w:pPr>
            <w:r>
              <w:rPr>
                <w:rFonts w:asciiTheme="minorHAnsi" w:hAnsiTheme="minorHAnsi"/>
              </w:rPr>
              <w:t>Field of activity</w:t>
            </w:r>
          </w:p>
        </w:tc>
        <w:tc>
          <w:tcPr>
            <w:tcW w:w="2835" w:type="dxa"/>
            <w:vAlign w:val="center"/>
            <w:hideMark/>
          </w:tcPr>
          <w:p w14:paraId="482C6A7D" w14:textId="77777777" w:rsidR="006503AD" w:rsidRPr="00017FA2" w:rsidRDefault="006503AD" w:rsidP="00C117A2">
            <w:pPr>
              <w:rPr>
                <w:rFonts w:asciiTheme="minorHAnsi" w:hAnsiTheme="minorHAnsi" w:cstheme="minorHAnsi"/>
                <w:bCs/>
                <w:szCs w:val="22"/>
              </w:rPr>
            </w:pPr>
            <w:r>
              <w:rPr>
                <w:rFonts w:asciiTheme="minorHAnsi" w:hAnsiTheme="minorHAnsi"/>
              </w:rPr>
              <w:t>Structural unit</w:t>
            </w:r>
          </w:p>
        </w:tc>
      </w:tr>
      <w:tr w:rsidR="006503AD" w:rsidRPr="00017FA2" w14:paraId="48C84254" w14:textId="77777777" w:rsidTr="007C1DCA">
        <w:trPr>
          <w:trHeight w:val="300"/>
        </w:trPr>
        <w:tc>
          <w:tcPr>
            <w:tcW w:w="2263" w:type="dxa"/>
            <w:vMerge w:val="restart"/>
            <w:vAlign w:val="center"/>
            <w:hideMark/>
          </w:tcPr>
          <w:p w14:paraId="3280D065" w14:textId="77777777" w:rsidR="006503AD" w:rsidRPr="00017FA2" w:rsidRDefault="006503AD" w:rsidP="00C117A2">
            <w:pPr>
              <w:rPr>
                <w:rFonts w:asciiTheme="minorHAnsi" w:hAnsiTheme="minorHAnsi" w:cstheme="minorHAnsi"/>
                <w:szCs w:val="22"/>
              </w:rPr>
            </w:pPr>
            <w:r>
              <w:rPr>
                <w:rFonts w:asciiTheme="minorHAnsi" w:hAnsiTheme="minorHAnsi"/>
              </w:rPr>
              <w:t>Vice-Rector for Research</w:t>
            </w:r>
          </w:p>
        </w:tc>
        <w:tc>
          <w:tcPr>
            <w:tcW w:w="4253" w:type="dxa"/>
            <w:vMerge w:val="restart"/>
            <w:hideMark/>
          </w:tcPr>
          <w:p w14:paraId="12C783B1" w14:textId="77777777" w:rsidR="006503AD" w:rsidRPr="00017FA2" w:rsidRDefault="006503AD" w:rsidP="00C117A2">
            <w:pPr>
              <w:rPr>
                <w:rFonts w:asciiTheme="minorHAnsi" w:hAnsiTheme="minorHAnsi" w:cstheme="minorHAnsi"/>
                <w:szCs w:val="22"/>
              </w:rPr>
            </w:pPr>
            <w:r>
              <w:rPr>
                <w:rFonts w:asciiTheme="minorHAnsi" w:hAnsiTheme="minorHAnsi"/>
              </w:rPr>
              <w:t>Research, including doctoral studies, library and publishing services</w:t>
            </w:r>
          </w:p>
        </w:tc>
        <w:tc>
          <w:tcPr>
            <w:tcW w:w="2835" w:type="dxa"/>
            <w:vAlign w:val="center"/>
            <w:hideMark/>
          </w:tcPr>
          <w:p w14:paraId="0B13DE58" w14:textId="77777777" w:rsidR="006503AD" w:rsidRDefault="006503AD" w:rsidP="00C117A2">
            <w:pPr>
              <w:rPr>
                <w:rFonts w:asciiTheme="minorHAnsi" w:hAnsiTheme="minorHAnsi" w:cstheme="minorHAnsi"/>
                <w:szCs w:val="22"/>
              </w:rPr>
            </w:pPr>
            <w:r>
              <w:rPr>
                <w:rFonts w:asciiTheme="minorHAnsi" w:hAnsiTheme="minorHAnsi"/>
              </w:rPr>
              <w:t>Library</w:t>
            </w:r>
          </w:p>
          <w:p w14:paraId="14457C8F" w14:textId="77777777" w:rsidR="006503AD" w:rsidRPr="00017FA2" w:rsidRDefault="006503AD" w:rsidP="00C117A2">
            <w:pPr>
              <w:rPr>
                <w:rFonts w:asciiTheme="minorHAnsi" w:hAnsiTheme="minorHAnsi" w:cstheme="minorHAnsi"/>
                <w:szCs w:val="22"/>
                <w:lang w:eastAsia="en-GB"/>
              </w:rPr>
            </w:pPr>
          </w:p>
        </w:tc>
      </w:tr>
      <w:tr w:rsidR="006503AD" w:rsidRPr="00017FA2" w14:paraId="3495D9AF" w14:textId="77777777" w:rsidTr="00C117A2">
        <w:trPr>
          <w:trHeight w:val="300"/>
        </w:trPr>
        <w:tc>
          <w:tcPr>
            <w:tcW w:w="2263" w:type="dxa"/>
            <w:vMerge/>
            <w:vAlign w:val="center"/>
            <w:hideMark/>
          </w:tcPr>
          <w:p w14:paraId="45A57C30" w14:textId="77777777" w:rsidR="006503AD" w:rsidRPr="00017FA2" w:rsidRDefault="006503AD" w:rsidP="00C117A2">
            <w:pPr>
              <w:rPr>
                <w:rFonts w:asciiTheme="minorHAnsi" w:hAnsiTheme="minorHAnsi" w:cstheme="minorHAnsi"/>
                <w:szCs w:val="22"/>
                <w:lang w:eastAsia="en-GB"/>
              </w:rPr>
            </w:pPr>
          </w:p>
        </w:tc>
        <w:tc>
          <w:tcPr>
            <w:tcW w:w="4253" w:type="dxa"/>
            <w:vMerge/>
            <w:vAlign w:val="center"/>
            <w:hideMark/>
          </w:tcPr>
          <w:p w14:paraId="789A17F3" w14:textId="77777777" w:rsidR="006503AD" w:rsidRPr="00017FA2" w:rsidRDefault="006503AD" w:rsidP="00C117A2">
            <w:pPr>
              <w:rPr>
                <w:rFonts w:asciiTheme="minorHAnsi" w:hAnsiTheme="minorHAnsi" w:cstheme="minorHAnsi"/>
                <w:szCs w:val="22"/>
                <w:lang w:eastAsia="en-GB"/>
              </w:rPr>
            </w:pPr>
          </w:p>
        </w:tc>
        <w:tc>
          <w:tcPr>
            <w:tcW w:w="2835" w:type="dxa"/>
            <w:vAlign w:val="center"/>
            <w:hideMark/>
          </w:tcPr>
          <w:p w14:paraId="4A95AF4D" w14:textId="77777777" w:rsidR="006503AD" w:rsidRDefault="006503AD" w:rsidP="00C117A2">
            <w:pPr>
              <w:rPr>
                <w:rFonts w:asciiTheme="minorHAnsi" w:hAnsiTheme="minorHAnsi" w:cstheme="minorHAnsi"/>
                <w:szCs w:val="22"/>
              </w:rPr>
            </w:pPr>
            <w:r>
              <w:rPr>
                <w:rFonts w:asciiTheme="minorHAnsi" w:hAnsiTheme="minorHAnsi"/>
              </w:rPr>
              <w:t>Research Administration Office</w:t>
            </w:r>
          </w:p>
          <w:p w14:paraId="6B72F7B5" w14:textId="77777777" w:rsidR="006503AD" w:rsidRPr="00017FA2" w:rsidRDefault="006503AD" w:rsidP="00C117A2">
            <w:pPr>
              <w:rPr>
                <w:rFonts w:asciiTheme="minorHAnsi" w:hAnsiTheme="minorHAnsi" w:cstheme="minorHAnsi"/>
                <w:szCs w:val="22"/>
                <w:lang w:eastAsia="en-GB"/>
              </w:rPr>
            </w:pPr>
          </w:p>
        </w:tc>
      </w:tr>
      <w:tr w:rsidR="006503AD" w:rsidRPr="00017FA2" w14:paraId="3B6DA6EE" w14:textId="77777777" w:rsidTr="00C117A2">
        <w:trPr>
          <w:trHeight w:val="228"/>
        </w:trPr>
        <w:tc>
          <w:tcPr>
            <w:tcW w:w="2263" w:type="dxa"/>
            <w:vMerge/>
            <w:vAlign w:val="center"/>
            <w:hideMark/>
          </w:tcPr>
          <w:p w14:paraId="73CCDD05" w14:textId="77777777" w:rsidR="006503AD" w:rsidRPr="00017FA2" w:rsidRDefault="006503AD" w:rsidP="00C117A2">
            <w:pPr>
              <w:rPr>
                <w:rFonts w:asciiTheme="minorHAnsi" w:hAnsiTheme="minorHAnsi" w:cstheme="minorHAnsi"/>
                <w:szCs w:val="22"/>
                <w:lang w:eastAsia="en-GB"/>
              </w:rPr>
            </w:pPr>
          </w:p>
        </w:tc>
        <w:tc>
          <w:tcPr>
            <w:tcW w:w="4253" w:type="dxa"/>
            <w:vMerge/>
            <w:vAlign w:val="center"/>
            <w:hideMark/>
          </w:tcPr>
          <w:p w14:paraId="15480FD7" w14:textId="77777777" w:rsidR="006503AD" w:rsidRPr="00017FA2" w:rsidRDefault="006503AD" w:rsidP="00C117A2">
            <w:pPr>
              <w:rPr>
                <w:rFonts w:asciiTheme="minorHAnsi" w:hAnsiTheme="minorHAnsi" w:cstheme="minorHAnsi"/>
                <w:szCs w:val="22"/>
                <w:lang w:eastAsia="en-GB"/>
              </w:rPr>
            </w:pPr>
          </w:p>
        </w:tc>
        <w:tc>
          <w:tcPr>
            <w:tcW w:w="2835" w:type="dxa"/>
            <w:vAlign w:val="center"/>
          </w:tcPr>
          <w:p w14:paraId="08946AE0" w14:textId="77777777" w:rsidR="006503AD" w:rsidRDefault="006503AD" w:rsidP="00C117A2">
            <w:pPr>
              <w:rPr>
                <w:rFonts w:asciiTheme="minorHAnsi" w:hAnsiTheme="minorHAnsi" w:cstheme="minorHAnsi"/>
                <w:szCs w:val="22"/>
              </w:rPr>
            </w:pPr>
            <w:r>
              <w:rPr>
                <w:rFonts w:asciiTheme="minorHAnsi" w:hAnsiTheme="minorHAnsi"/>
              </w:rPr>
              <w:t xml:space="preserve">FinEst Centre for Smart Cities </w:t>
            </w:r>
          </w:p>
          <w:p w14:paraId="40D4B697" w14:textId="77777777" w:rsidR="006503AD" w:rsidRPr="00017FA2" w:rsidRDefault="006503AD" w:rsidP="00C117A2">
            <w:pPr>
              <w:rPr>
                <w:rFonts w:asciiTheme="minorHAnsi" w:hAnsiTheme="minorHAnsi" w:cstheme="minorHAnsi"/>
                <w:szCs w:val="22"/>
                <w:lang w:eastAsia="en-GB"/>
              </w:rPr>
            </w:pPr>
          </w:p>
        </w:tc>
      </w:tr>
      <w:tr w:rsidR="004472D0" w:rsidRPr="00017FA2" w14:paraId="031D1BEA" w14:textId="77777777" w:rsidTr="00C117A2">
        <w:trPr>
          <w:trHeight w:val="283"/>
        </w:trPr>
        <w:tc>
          <w:tcPr>
            <w:tcW w:w="2263" w:type="dxa"/>
            <w:vMerge w:val="restart"/>
            <w:vAlign w:val="center"/>
            <w:hideMark/>
          </w:tcPr>
          <w:p w14:paraId="78A9DDC3" w14:textId="77777777" w:rsidR="004472D0" w:rsidRPr="00017FA2" w:rsidRDefault="004472D0" w:rsidP="00C117A2">
            <w:pPr>
              <w:rPr>
                <w:rFonts w:asciiTheme="minorHAnsi" w:hAnsiTheme="minorHAnsi" w:cstheme="minorHAnsi"/>
                <w:szCs w:val="22"/>
              </w:rPr>
            </w:pPr>
            <w:r>
              <w:rPr>
                <w:rFonts w:asciiTheme="minorHAnsi" w:hAnsiTheme="minorHAnsi"/>
              </w:rPr>
              <w:t>Vice-Rector for Academic Affairs</w:t>
            </w:r>
          </w:p>
        </w:tc>
        <w:tc>
          <w:tcPr>
            <w:tcW w:w="4253" w:type="dxa"/>
            <w:vMerge w:val="restart"/>
            <w:vAlign w:val="center"/>
            <w:hideMark/>
          </w:tcPr>
          <w:p w14:paraId="27AD71DC" w14:textId="77777777" w:rsidR="004472D0" w:rsidRDefault="004472D0" w:rsidP="00C117A2">
            <w:pPr>
              <w:rPr>
                <w:rFonts w:asciiTheme="minorHAnsi" w:hAnsiTheme="minorHAnsi" w:cstheme="minorHAnsi"/>
                <w:szCs w:val="22"/>
              </w:rPr>
            </w:pPr>
            <w:r>
              <w:rPr>
                <w:rFonts w:asciiTheme="minorHAnsi" w:hAnsiTheme="minorHAnsi"/>
              </w:rPr>
              <w:t>Academic affairs (excluding doctoral studies), EuroTeQ, cooperation with the student body in the field of education,</w:t>
            </w:r>
          </w:p>
          <w:p w14:paraId="43F5CDAD" w14:textId="6010CBB0" w:rsidR="004472D0" w:rsidRPr="00017FA2" w:rsidRDefault="004472D0" w:rsidP="00C117A2">
            <w:pPr>
              <w:rPr>
                <w:rFonts w:asciiTheme="minorHAnsi" w:hAnsiTheme="minorHAnsi" w:cstheme="minorHAnsi"/>
                <w:szCs w:val="22"/>
              </w:rPr>
            </w:pPr>
            <w:r>
              <w:rPr>
                <w:rFonts w:asciiTheme="minorHAnsi" w:hAnsiTheme="minorHAnsi"/>
              </w:rPr>
              <w:t>micro-degrees, open studies, continuing education</w:t>
            </w:r>
          </w:p>
        </w:tc>
        <w:tc>
          <w:tcPr>
            <w:tcW w:w="2835" w:type="dxa"/>
            <w:vAlign w:val="center"/>
            <w:hideMark/>
          </w:tcPr>
          <w:p w14:paraId="47E04DFF" w14:textId="77777777" w:rsidR="004472D0" w:rsidRPr="00017FA2" w:rsidRDefault="004472D0" w:rsidP="00C117A2">
            <w:pPr>
              <w:rPr>
                <w:rFonts w:asciiTheme="minorHAnsi" w:hAnsiTheme="minorHAnsi" w:cstheme="minorHAnsi"/>
                <w:szCs w:val="22"/>
              </w:rPr>
            </w:pPr>
            <w:r>
              <w:rPr>
                <w:rFonts w:asciiTheme="minorHAnsi" w:hAnsiTheme="minorHAnsi"/>
              </w:rPr>
              <w:t>Office of Academic Affairs</w:t>
            </w:r>
          </w:p>
        </w:tc>
      </w:tr>
      <w:tr w:rsidR="004472D0" w:rsidRPr="00017FA2" w14:paraId="181A8E5F" w14:textId="77777777" w:rsidTr="00C117A2">
        <w:trPr>
          <w:trHeight w:val="576"/>
        </w:trPr>
        <w:tc>
          <w:tcPr>
            <w:tcW w:w="2263" w:type="dxa"/>
            <w:vMerge/>
            <w:vAlign w:val="center"/>
            <w:hideMark/>
          </w:tcPr>
          <w:p w14:paraId="0EC47F2E" w14:textId="77777777" w:rsidR="004472D0" w:rsidRPr="00017FA2" w:rsidRDefault="004472D0" w:rsidP="00C117A2">
            <w:pPr>
              <w:rPr>
                <w:rFonts w:asciiTheme="minorHAnsi" w:hAnsiTheme="minorHAnsi" w:cstheme="minorHAnsi"/>
                <w:szCs w:val="22"/>
                <w:lang w:eastAsia="en-GB"/>
              </w:rPr>
            </w:pPr>
          </w:p>
        </w:tc>
        <w:tc>
          <w:tcPr>
            <w:tcW w:w="4253" w:type="dxa"/>
            <w:vMerge/>
            <w:vAlign w:val="center"/>
            <w:hideMark/>
          </w:tcPr>
          <w:p w14:paraId="234FD0C5" w14:textId="77777777" w:rsidR="004472D0" w:rsidRPr="00017FA2" w:rsidRDefault="004472D0" w:rsidP="00C117A2">
            <w:pPr>
              <w:rPr>
                <w:rFonts w:asciiTheme="minorHAnsi" w:hAnsiTheme="minorHAnsi" w:cstheme="minorHAnsi"/>
                <w:szCs w:val="22"/>
                <w:lang w:eastAsia="en-GB"/>
              </w:rPr>
            </w:pPr>
          </w:p>
        </w:tc>
        <w:tc>
          <w:tcPr>
            <w:tcW w:w="2835" w:type="dxa"/>
            <w:vAlign w:val="center"/>
            <w:hideMark/>
          </w:tcPr>
          <w:p w14:paraId="4808E3DE" w14:textId="752FEA36" w:rsidR="004472D0" w:rsidRPr="00900D3F" w:rsidRDefault="004472D0" w:rsidP="00C117A2">
            <w:pPr>
              <w:rPr>
                <w:rFonts w:asciiTheme="minorHAnsi" w:hAnsiTheme="minorHAnsi" w:cstheme="minorHAnsi"/>
                <w:szCs w:val="22"/>
                <w:highlight w:val="yellow"/>
              </w:rPr>
            </w:pPr>
            <w:r>
              <w:rPr>
                <w:rFonts w:asciiTheme="minorHAnsi" w:hAnsiTheme="minorHAnsi"/>
              </w:rPr>
              <w:t>Open University</w:t>
            </w:r>
          </w:p>
        </w:tc>
      </w:tr>
      <w:tr w:rsidR="004472D0" w:rsidRPr="00017FA2" w14:paraId="516A844A" w14:textId="77777777" w:rsidTr="00C117A2">
        <w:trPr>
          <w:trHeight w:val="576"/>
        </w:trPr>
        <w:tc>
          <w:tcPr>
            <w:tcW w:w="2263" w:type="dxa"/>
            <w:vMerge/>
            <w:vAlign w:val="center"/>
          </w:tcPr>
          <w:p w14:paraId="0DDA0812" w14:textId="77777777" w:rsidR="004472D0" w:rsidRPr="00017FA2" w:rsidRDefault="004472D0" w:rsidP="00C117A2">
            <w:pPr>
              <w:rPr>
                <w:rFonts w:asciiTheme="minorHAnsi" w:hAnsiTheme="minorHAnsi" w:cstheme="minorHAnsi"/>
                <w:szCs w:val="22"/>
                <w:lang w:eastAsia="en-GB"/>
              </w:rPr>
            </w:pPr>
          </w:p>
        </w:tc>
        <w:tc>
          <w:tcPr>
            <w:tcW w:w="4253" w:type="dxa"/>
            <w:vMerge/>
            <w:vAlign w:val="center"/>
          </w:tcPr>
          <w:p w14:paraId="00745E47" w14:textId="77777777" w:rsidR="004472D0" w:rsidRPr="00017FA2" w:rsidRDefault="004472D0" w:rsidP="00C117A2">
            <w:pPr>
              <w:rPr>
                <w:rFonts w:asciiTheme="minorHAnsi" w:hAnsiTheme="minorHAnsi" w:cstheme="minorHAnsi"/>
                <w:szCs w:val="22"/>
                <w:lang w:eastAsia="en-GB"/>
              </w:rPr>
            </w:pPr>
          </w:p>
        </w:tc>
        <w:tc>
          <w:tcPr>
            <w:tcW w:w="2835" w:type="dxa"/>
            <w:vAlign w:val="center"/>
          </w:tcPr>
          <w:p w14:paraId="0B518511" w14:textId="34214BC8" w:rsidR="004472D0" w:rsidRDefault="004472D0" w:rsidP="00C117A2">
            <w:pPr>
              <w:rPr>
                <w:rFonts w:asciiTheme="minorHAnsi" w:hAnsiTheme="minorHAnsi"/>
              </w:rPr>
            </w:pPr>
            <w:r w:rsidRPr="004472D0">
              <w:rPr>
                <w:rFonts w:asciiTheme="minorHAnsi" w:hAnsiTheme="minorHAnsi"/>
              </w:rPr>
              <w:t xml:space="preserve">Educational Innovation </w:t>
            </w:r>
            <w:proofErr w:type="gramStart"/>
            <w:r w:rsidRPr="004472D0">
              <w:rPr>
                <w:rFonts w:asciiTheme="minorHAnsi" w:hAnsiTheme="minorHAnsi"/>
              </w:rPr>
              <w:t>Lab</w:t>
            </w:r>
            <w:r>
              <w:rPr>
                <w:rFonts w:asciiTheme="minorHAnsi" w:hAnsiTheme="minorHAnsi"/>
              </w:rPr>
              <w:t xml:space="preserve">  </w:t>
            </w:r>
            <w:r w:rsidRPr="007659CF">
              <w:rPr>
                <w:rFonts w:asciiTheme="minorHAnsi" w:hAnsiTheme="minorHAnsi"/>
              </w:rPr>
              <w:t>[</w:t>
            </w:r>
            <w:proofErr w:type="gramEnd"/>
            <w:r w:rsidRPr="007659CF">
              <w:rPr>
                <w:rFonts w:asciiTheme="minorHAnsi" w:hAnsiTheme="minorHAnsi"/>
              </w:rPr>
              <w:t xml:space="preserve">entry into force </w:t>
            </w:r>
            <w:r w:rsidR="004D0133">
              <w:rPr>
                <w:rFonts w:asciiTheme="minorHAnsi" w:hAnsiTheme="minorHAnsi"/>
              </w:rPr>
              <w:t>23.01.2026</w:t>
            </w:r>
            <w:r w:rsidRPr="007659CF">
              <w:rPr>
                <w:rFonts w:asciiTheme="minorHAnsi" w:hAnsiTheme="minorHAnsi"/>
              </w:rPr>
              <w:t>]</w:t>
            </w:r>
          </w:p>
        </w:tc>
      </w:tr>
      <w:tr w:rsidR="006503AD" w:rsidRPr="00017FA2" w14:paraId="27682C8B" w14:textId="77777777" w:rsidTr="00C117A2">
        <w:trPr>
          <w:trHeight w:val="805"/>
        </w:trPr>
        <w:tc>
          <w:tcPr>
            <w:tcW w:w="2263" w:type="dxa"/>
            <w:vMerge w:val="restart"/>
            <w:vAlign w:val="center"/>
            <w:hideMark/>
          </w:tcPr>
          <w:p w14:paraId="4DD49A5E" w14:textId="77777777" w:rsidR="006503AD" w:rsidRPr="00017FA2" w:rsidRDefault="006503AD" w:rsidP="00C117A2">
            <w:pPr>
              <w:rPr>
                <w:rFonts w:asciiTheme="minorHAnsi" w:hAnsiTheme="minorHAnsi" w:cstheme="minorHAnsi"/>
                <w:szCs w:val="22"/>
              </w:rPr>
            </w:pPr>
            <w:r>
              <w:rPr>
                <w:rFonts w:asciiTheme="minorHAnsi" w:hAnsiTheme="minorHAnsi"/>
              </w:rPr>
              <w:t>Vice-Rector for Entrepreneurship</w:t>
            </w:r>
          </w:p>
        </w:tc>
        <w:tc>
          <w:tcPr>
            <w:tcW w:w="4253" w:type="dxa"/>
            <w:vMerge w:val="restart"/>
            <w:vAlign w:val="center"/>
            <w:hideMark/>
          </w:tcPr>
          <w:p w14:paraId="7032E967" w14:textId="4474E92B" w:rsidR="006503AD" w:rsidRPr="00017FA2" w:rsidRDefault="003163B6" w:rsidP="00C117A2">
            <w:r>
              <w:t>I</w:t>
            </w:r>
            <w:r w:rsidR="006503AD">
              <w:t>nnovation and industry cooperation, knowledge and technology transfer, protection of intellectual property rights and coordination of commercialisation of smart knowledge, coordination of partnerships, promotion of entrepreneurship</w:t>
            </w:r>
          </w:p>
          <w:p w14:paraId="6C310BC7" w14:textId="77777777" w:rsidR="006503AD" w:rsidRPr="00017FA2" w:rsidRDefault="006503AD" w:rsidP="00C117A2">
            <w:pPr>
              <w:rPr>
                <w:rFonts w:asciiTheme="minorHAnsi" w:hAnsiTheme="minorHAnsi" w:cstheme="minorHAnsi"/>
                <w:szCs w:val="22"/>
                <w:lang w:eastAsia="en-GB"/>
              </w:rPr>
            </w:pPr>
          </w:p>
        </w:tc>
        <w:tc>
          <w:tcPr>
            <w:tcW w:w="2835" w:type="dxa"/>
            <w:vAlign w:val="center"/>
            <w:hideMark/>
          </w:tcPr>
          <w:p w14:paraId="309DB8C5" w14:textId="77777777" w:rsidR="006503AD" w:rsidRDefault="006503AD" w:rsidP="00C117A2">
            <w:pPr>
              <w:rPr>
                <w:rFonts w:asciiTheme="minorHAnsi" w:hAnsiTheme="minorHAnsi" w:cstheme="minorHAnsi"/>
                <w:szCs w:val="22"/>
              </w:rPr>
            </w:pPr>
            <w:r>
              <w:rPr>
                <w:rFonts w:asciiTheme="minorHAnsi" w:hAnsiTheme="minorHAnsi"/>
              </w:rPr>
              <w:t>Technology Transfer Office</w:t>
            </w:r>
          </w:p>
          <w:p w14:paraId="2DC63190" w14:textId="77777777" w:rsidR="006503AD" w:rsidRPr="00017FA2" w:rsidRDefault="006503AD" w:rsidP="00C117A2">
            <w:pPr>
              <w:rPr>
                <w:rFonts w:asciiTheme="minorHAnsi" w:hAnsiTheme="minorHAnsi" w:cstheme="minorHAnsi"/>
                <w:szCs w:val="22"/>
              </w:rPr>
            </w:pPr>
            <w:r>
              <w:rPr>
                <w:rFonts w:asciiTheme="minorHAnsi" w:hAnsiTheme="minorHAnsi"/>
              </w:rPr>
              <w:t xml:space="preserve"> </w:t>
            </w:r>
          </w:p>
        </w:tc>
      </w:tr>
      <w:tr w:rsidR="006503AD" w:rsidRPr="00FE12E2" w14:paraId="50153D95" w14:textId="77777777" w:rsidTr="00C117A2">
        <w:trPr>
          <w:trHeight w:val="805"/>
        </w:trPr>
        <w:tc>
          <w:tcPr>
            <w:tcW w:w="2263" w:type="dxa"/>
            <w:vMerge/>
            <w:vAlign w:val="center"/>
          </w:tcPr>
          <w:p w14:paraId="6281920E" w14:textId="77777777" w:rsidR="006503AD" w:rsidRPr="00017FA2" w:rsidRDefault="006503AD" w:rsidP="00C117A2">
            <w:pPr>
              <w:rPr>
                <w:rFonts w:asciiTheme="minorHAnsi" w:hAnsiTheme="minorHAnsi" w:cstheme="minorHAnsi"/>
                <w:szCs w:val="22"/>
                <w:lang w:eastAsia="en-GB"/>
              </w:rPr>
            </w:pPr>
          </w:p>
        </w:tc>
        <w:tc>
          <w:tcPr>
            <w:tcW w:w="4253" w:type="dxa"/>
            <w:vMerge/>
            <w:vAlign w:val="center"/>
          </w:tcPr>
          <w:p w14:paraId="1FCD20D1" w14:textId="77777777" w:rsidR="006503AD" w:rsidRPr="00017FA2" w:rsidRDefault="006503AD" w:rsidP="00C117A2">
            <w:pPr>
              <w:rPr>
                <w:rFonts w:asciiTheme="minorHAnsi" w:hAnsiTheme="minorHAnsi" w:cstheme="minorHAnsi"/>
                <w:szCs w:val="22"/>
                <w:lang w:eastAsia="en-GB"/>
              </w:rPr>
            </w:pPr>
          </w:p>
        </w:tc>
        <w:tc>
          <w:tcPr>
            <w:tcW w:w="2835" w:type="dxa"/>
            <w:vAlign w:val="center"/>
          </w:tcPr>
          <w:p w14:paraId="1B70C3D3" w14:textId="77777777" w:rsidR="006503AD" w:rsidRPr="00FE12E2" w:rsidRDefault="006503AD" w:rsidP="00C117A2">
            <w:pPr>
              <w:rPr>
                <w:rFonts w:asciiTheme="minorHAnsi" w:hAnsiTheme="minorHAnsi" w:cstheme="minorHAnsi"/>
                <w:szCs w:val="22"/>
                <w:lang w:val="fr-FR"/>
              </w:rPr>
            </w:pPr>
            <w:r w:rsidRPr="00FE12E2">
              <w:rPr>
                <w:rFonts w:asciiTheme="minorHAnsi" w:hAnsiTheme="minorHAnsi"/>
                <w:lang w:val="fr-FR"/>
              </w:rPr>
              <w:t>AI &amp; Robotics Estonia (AIRE) centre</w:t>
            </w:r>
          </w:p>
        </w:tc>
      </w:tr>
      <w:tr w:rsidR="006503AD" w:rsidRPr="00017FA2" w14:paraId="15A29E04" w14:textId="77777777" w:rsidTr="00C117A2">
        <w:trPr>
          <w:trHeight w:val="805"/>
        </w:trPr>
        <w:tc>
          <w:tcPr>
            <w:tcW w:w="2263" w:type="dxa"/>
            <w:vMerge w:val="restart"/>
            <w:vAlign w:val="center"/>
          </w:tcPr>
          <w:p w14:paraId="59E8655A" w14:textId="77777777" w:rsidR="006503AD" w:rsidRPr="00017FA2" w:rsidRDefault="006503AD" w:rsidP="00C117A2">
            <w:pPr>
              <w:rPr>
                <w:rFonts w:asciiTheme="minorHAnsi" w:hAnsiTheme="minorHAnsi" w:cstheme="minorHAnsi"/>
                <w:szCs w:val="22"/>
              </w:rPr>
            </w:pPr>
            <w:r>
              <w:rPr>
                <w:rFonts w:asciiTheme="minorHAnsi" w:hAnsiTheme="minorHAnsi"/>
              </w:rPr>
              <w:t>Vice-Rector for Development and Student Affairs</w:t>
            </w:r>
          </w:p>
        </w:tc>
        <w:tc>
          <w:tcPr>
            <w:tcW w:w="4253" w:type="dxa"/>
            <w:vMerge w:val="restart"/>
            <w:vAlign w:val="center"/>
          </w:tcPr>
          <w:p w14:paraId="438520EF" w14:textId="161397C2" w:rsidR="006503AD" w:rsidRPr="00017FA2" w:rsidRDefault="006503AD" w:rsidP="00C117A2">
            <w:pPr>
              <w:rPr>
                <w:rFonts w:asciiTheme="minorHAnsi" w:hAnsiTheme="minorHAnsi" w:cstheme="minorHAnsi"/>
                <w:szCs w:val="22"/>
              </w:rPr>
            </w:pPr>
            <w:r>
              <w:rPr>
                <w:rFonts w:asciiTheme="minorHAnsi" w:hAnsiTheme="minorHAnsi"/>
              </w:rPr>
              <w:t>Engineering Education Foundation, Development Fund scholarships, alumni association, student life affairs under the student body, sports activities, the School of Technology, the School of Exams and Olympiads, the Unicorn Squad, the Education USA Advising Centre</w:t>
            </w:r>
          </w:p>
        </w:tc>
        <w:tc>
          <w:tcPr>
            <w:tcW w:w="2835" w:type="dxa"/>
            <w:vAlign w:val="center"/>
          </w:tcPr>
          <w:p w14:paraId="654D5899" w14:textId="77777777" w:rsidR="006503AD" w:rsidRPr="00C117A2" w:rsidRDefault="006503AD" w:rsidP="00C117A2">
            <w:pPr>
              <w:rPr>
                <w:rFonts w:asciiTheme="minorHAnsi" w:hAnsiTheme="minorHAnsi" w:cstheme="minorHAnsi"/>
                <w:szCs w:val="22"/>
              </w:rPr>
            </w:pPr>
            <w:r>
              <w:rPr>
                <w:rFonts w:asciiTheme="minorHAnsi" w:hAnsiTheme="minorHAnsi"/>
              </w:rPr>
              <w:t>Alumni and Support Relations Office</w:t>
            </w:r>
          </w:p>
          <w:p w14:paraId="634CD560" w14:textId="77777777" w:rsidR="006503AD" w:rsidRPr="00017FA2" w:rsidRDefault="006503AD" w:rsidP="00C117A2">
            <w:pPr>
              <w:rPr>
                <w:rFonts w:asciiTheme="minorHAnsi" w:hAnsiTheme="minorHAnsi" w:cstheme="minorHAnsi"/>
                <w:szCs w:val="22"/>
                <w:lang w:eastAsia="en-GB"/>
              </w:rPr>
            </w:pPr>
          </w:p>
        </w:tc>
      </w:tr>
      <w:tr w:rsidR="006503AD" w:rsidRPr="00017FA2" w14:paraId="0C6F0F94" w14:textId="77777777" w:rsidTr="00C117A2">
        <w:trPr>
          <w:trHeight w:val="805"/>
        </w:trPr>
        <w:tc>
          <w:tcPr>
            <w:tcW w:w="2263" w:type="dxa"/>
            <w:vMerge/>
            <w:vAlign w:val="center"/>
          </w:tcPr>
          <w:p w14:paraId="1A94C6A3" w14:textId="77777777" w:rsidR="006503AD" w:rsidRDefault="006503AD" w:rsidP="00C117A2">
            <w:pPr>
              <w:rPr>
                <w:rFonts w:asciiTheme="minorHAnsi" w:hAnsiTheme="minorHAnsi" w:cstheme="minorHAnsi"/>
                <w:szCs w:val="22"/>
                <w:lang w:eastAsia="en-GB"/>
              </w:rPr>
            </w:pPr>
          </w:p>
        </w:tc>
        <w:tc>
          <w:tcPr>
            <w:tcW w:w="4253" w:type="dxa"/>
            <w:vMerge/>
            <w:vAlign w:val="center"/>
          </w:tcPr>
          <w:p w14:paraId="5895241E" w14:textId="77777777" w:rsidR="006503AD" w:rsidRDefault="006503AD" w:rsidP="00C117A2">
            <w:pPr>
              <w:rPr>
                <w:rFonts w:asciiTheme="minorHAnsi" w:hAnsiTheme="minorHAnsi" w:cstheme="minorHAnsi"/>
                <w:szCs w:val="22"/>
                <w:lang w:eastAsia="en-GB"/>
              </w:rPr>
            </w:pPr>
          </w:p>
        </w:tc>
        <w:tc>
          <w:tcPr>
            <w:tcW w:w="2835" w:type="dxa"/>
            <w:vAlign w:val="center"/>
          </w:tcPr>
          <w:p w14:paraId="6C9788FC" w14:textId="77777777" w:rsidR="006503AD" w:rsidRPr="00900D3F" w:rsidRDefault="006503AD" w:rsidP="00C117A2">
            <w:pPr>
              <w:rPr>
                <w:rFonts w:asciiTheme="minorHAnsi" w:hAnsiTheme="minorHAnsi" w:cstheme="minorHAnsi"/>
                <w:szCs w:val="22"/>
                <w:highlight w:val="yellow"/>
              </w:rPr>
            </w:pPr>
            <w:r>
              <w:rPr>
                <w:rFonts w:asciiTheme="minorHAnsi" w:hAnsiTheme="minorHAnsi"/>
              </w:rPr>
              <w:t>Next Generation Centre</w:t>
            </w:r>
          </w:p>
        </w:tc>
      </w:tr>
      <w:tr w:rsidR="006503AD" w:rsidRPr="00017FA2" w14:paraId="20C143E9" w14:textId="77777777" w:rsidTr="00C117A2">
        <w:trPr>
          <w:trHeight w:val="458"/>
        </w:trPr>
        <w:tc>
          <w:tcPr>
            <w:tcW w:w="2263" w:type="dxa"/>
            <w:vMerge w:val="restart"/>
            <w:vAlign w:val="center"/>
            <w:hideMark/>
          </w:tcPr>
          <w:p w14:paraId="1BB56720" w14:textId="77777777" w:rsidR="006503AD" w:rsidRPr="00017FA2" w:rsidRDefault="006503AD" w:rsidP="00C117A2">
            <w:pPr>
              <w:rPr>
                <w:rFonts w:asciiTheme="minorHAnsi" w:hAnsiTheme="minorHAnsi" w:cstheme="minorHAnsi"/>
                <w:szCs w:val="22"/>
              </w:rPr>
            </w:pPr>
            <w:r>
              <w:rPr>
                <w:rFonts w:asciiTheme="minorHAnsi" w:hAnsiTheme="minorHAnsi"/>
              </w:rPr>
              <w:t>Director for Administration</w:t>
            </w:r>
          </w:p>
        </w:tc>
        <w:tc>
          <w:tcPr>
            <w:tcW w:w="4253" w:type="dxa"/>
            <w:noWrap/>
            <w:hideMark/>
          </w:tcPr>
          <w:p w14:paraId="1941FF9C" w14:textId="77777777" w:rsidR="006503AD" w:rsidRPr="00017FA2" w:rsidRDefault="006503AD" w:rsidP="00C117A2">
            <w:pPr>
              <w:rPr>
                <w:rFonts w:asciiTheme="minorHAnsi" w:hAnsiTheme="minorHAnsi" w:cstheme="minorHAnsi"/>
                <w:szCs w:val="22"/>
              </w:rPr>
            </w:pPr>
            <w:r>
              <w:rPr>
                <w:rFonts w:asciiTheme="minorHAnsi" w:hAnsiTheme="minorHAnsi"/>
              </w:rPr>
              <w:t>Development, management, and administration of IT infrastructure and systems</w:t>
            </w:r>
          </w:p>
        </w:tc>
        <w:tc>
          <w:tcPr>
            <w:tcW w:w="2835" w:type="dxa"/>
            <w:hideMark/>
          </w:tcPr>
          <w:p w14:paraId="13F7B401" w14:textId="77777777" w:rsidR="006503AD" w:rsidRPr="00017FA2" w:rsidRDefault="006503AD" w:rsidP="00C117A2">
            <w:pPr>
              <w:rPr>
                <w:rFonts w:asciiTheme="minorHAnsi" w:hAnsiTheme="minorHAnsi" w:cstheme="minorHAnsi"/>
                <w:szCs w:val="22"/>
              </w:rPr>
            </w:pPr>
            <w:r>
              <w:rPr>
                <w:rFonts w:asciiTheme="minorHAnsi" w:hAnsiTheme="minorHAnsi"/>
              </w:rPr>
              <w:t>Information Technology Services</w:t>
            </w:r>
          </w:p>
        </w:tc>
      </w:tr>
      <w:tr w:rsidR="006503AD" w:rsidRPr="00017FA2" w14:paraId="053D7131" w14:textId="77777777" w:rsidTr="00C117A2">
        <w:trPr>
          <w:trHeight w:val="1425"/>
        </w:trPr>
        <w:tc>
          <w:tcPr>
            <w:tcW w:w="2263" w:type="dxa"/>
            <w:vMerge/>
            <w:vAlign w:val="center"/>
            <w:hideMark/>
          </w:tcPr>
          <w:p w14:paraId="3157084E" w14:textId="77777777" w:rsidR="006503AD" w:rsidRPr="00017FA2" w:rsidRDefault="006503AD" w:rsidP="00C117A2">
            <w:pPr>
              <w:rPr>
                <w:rFonts w:asciiTheme="minorHAnsi" w:hAnsiTheme="minorHAnsi" w:cstheme="minorHAnsi"/>
                <w:szCs w:val="22"/>
                <w:lang w:eastAsia="en-GB"/>
              </w:rPr>
            </w:pPr>
          </w:p>
        </w:tc>
        <w:tc>
          <w:tcPr>
            <w:tcW w:w="4253" w:type="dxa"/>
            <w:vAlign w:val="center"/>
            <w:hideMark/>
          </w:tcPr>
          <w:p w14:paraId="72E656D3" w14:textId="77777777" w:rsidR="006503AD" w:rsidRPr="00017FA2" w:rsidRDefault="006503AD" w:rsidP="00C117A2">
            <w:pPr>
              <w:rPr>
                <w:rFonts w:asciiTheme="minorHAnsi" w:hAnsiTheme="minorHAnsi" w:cstheme="minorHAnsi"/>
                <w:szCs w:val="22"/>
              </w:rPr>
            </w:pPr>
            <w:r>
              <w:rPr>
                <w:rFonts w:asciiTheme="minorHAnsi" w:hAnsiTheme="minorHAnsi"/>
              </w:rPr>
              <w:t>Management and implementation of the university’s marketing and communication activities, including internal and external communication; coordination and development of the brand and insignia; reputation and recruitment activities; development of e-channels; organization of university events; and international cooperation</w:t>
            </w:r>
          </w:p>
        </w:tc>
        <w:tc>
          <w:tcPr>
            <w:tcW w:w="2835" w:type="dxa"/>
            <w:vAlign w:val="center"/>
            <w:hideMark/>
          </w:tcPr>
          <w:p w14:paraId="099DC93A" w14:textId="77777777" w:rsidR="006503AD" w:rsidRPr="00017FA2" w:rsidRDefault="006503AD" w:rsidP="00C117A2">
            <w:pPr>
              <w:rPr>
                <w:rFonts w:asciiTheme="minorHAnsi" w:hAnsiTheme="minorHAnsi" w:cstheme="minorHAnsi"/>
                <w:szCs w:val="22"/>
              </w:rPr>
            </w:pPr>
            <w:r>
              <w:rPr>
                <w:rFonts w:asciiTheme="minorHAnsi" w:hAnsiTheme="minorHAnsi"/>
              </w:rPr>
              <w:t>Marketing and Communications Office</w:t>
            </w:r>
          </w:p>
        </w:tc>
      </w:tr>
      <w:tr w:rsidR="006503AD" w:rsidRPr="00017FA2" w14:paraId="72A02411" w14:textId="77777777" w:rsidTr="00862399">
        <w:trPr>
          <w:trHeight w:val="664"/>
        </w:trPr>
        <w:tc>
          <w:tcPr>
            <w:tcW w:w="2263" w:type="dxa"/>
            <w:vMerge/>
            <w:vAlign w:val="center"/>
            <w:hideMark/>
          </w:tcPr>
          <w:p w14:paraId="212C2458" w14:textId="77777777" w:rsidR="006503AD" w:rsidRPr="00017FA2" w:rsidRDefault="006503AD" w:rsidP="00C117A2">
            <w:pPr>
              <w:rPr>
                <w:rFonts w:asciiTheme="minorHAnsi" w:hAnsiTheme="minorHAnsi" w:cstheme="minorHAnsi"/>
                <w:szCs w:val="22"/>
                <w:lang w:eastAsia="en-GB"/>
              </w:rPr>
            </w:pPr>
          </w:p>
        </w:tc>
        <w:tc>
          <w:tcPr>
            <w:tcW w:w="4253" w:type="dxa"/>
            <w:hideMark/>
          </w:tcPr>
          <w:p w14:paraId="357AF8A5" w14:textId="77777777" w:rsidR="006503AD" w:rsidRPr="00017FA2" w:rsidRDefault="006503AD" w:rsidP="005C5F22">
            <w:pPr>
              <w:spacing w:after="240"/>
              <w:rPr>
                <w:rFonts w:asciiTheme="minorHAnsi" w:hAnsiTheme="minorHAnsi" w:cstheme="minorHAnsi"/>
                <w:szCs w:val="22"/>
              </w:rPr>
            </w:pPr>
            <w:r>
              <w:rPr>
                <w:rFonts w:asciiTheme="minorHAnsi" w:hAnsiTheme="minorHAnsi"/>
              </w:rPr>
              <w:t>Organisation and development of financial/economic activities (incl. public procurements)</w:t>
            </w:r>
          </w:p>
        </w:tc>
        <w:tc>
          <w:tcPr>
            <w:tcW w:w="2835" w:type="dxa"/>
            <w:hideMark/>
          </w:tcPr>
          <w:p w14:paraId="49A1A004" w14:textId="77777777" w:rsidR="006503AD" w:rsidRPr="00017FA2" w:rsidRDefault="006503AD" w:rsidP="00C117A2">
            <w:pPr>
              <w:rPr>
                <w:rFonts w:asciiTheme="minorHAnsi" w:hAnsiTheme="minorHAnsi" w:cstheme="minorHAnsi"/>
                <w:szCs w:val="22"/>
                <w:lang w:eastAsia="en-GB"/>
              </w:rPr>
            </w:pPr>
          </w:p>
          <w:p w14:paraId="58849DA2" w14:textId="77777777" w:rsidR="006503AD" w:rsidRPr="00017FA2" w:rsidRDefault="006503AD" w:rsidP="00C117A2">
            <w:pPr>
              <w:rPr>
                <w:rFonts w:asciiTheme="minorHAnsi" w:hAnsiTheme="minorHAnsi" w:cstheme="minorHAnsi"/>
                <w:szCs w:val="22"/>
              </w:rPr>
            </w:pPr>
            <w:r>
              <w:rPr>
                <w:rFonts w:asciiTheme="minorHAnsi" w:hAnsiTheme="minorHAnsi"/>
              </w:rPr>
              <w:t>Finance Office</w:t>
            </w:r>
          </w:p>
        </w:tc>
      </w:tr>
      <w:tr w:rsidR="006503AD" w:rsidRPr="00017FA2" w14:paraId="49A3E06B" w14:textId="77777777" w:rsidTr="00037F0E">
        <w:trPr>
          <w:trHeight w:val="699"/>
        </w:trPr>
        <w:tc>
          <w:tcPr>
            <w:tcW w:w="2263" w:type="dxa"/>
            <w:vMerge/>
            <w:vAlign w:val="center"/>
            <w:hideMark/>
          </w:tcPr>
          <w:p w14:paraId="0494A6AD" w14:textId="77777777" w:rsidR="006503AD" w:rsidRPr="00017FA2" w:rsidRDefault="006503AD" w:rsidP="00C117A2">
            <w:pPr>
              <w:rPr>
                <w:rFonts w:asciiTheme="minorHAnsi" w:hAnsiTheme="minorHAnsi" w:cstheme="minorHAnsi"/>
                <w:szCs w:val="22"/>
                <w:lang w:eastAsia="en-GB"/>
              </w:rPr>
            </w:pPr>
          </w:p>
        </w:tc>
        <w:tc>
          <w:tcPr>
            <w:tcW w:w="4253" w:type="dxa"/>
            <w:vAlign w:val="center"/>
            <w:hideMark/>
          </w:tcPr>
          <w:p w14:paraId="55CAF01F" w14:textId="7AFDC760" w:rsidR="00037F0E" w:rsidRPr="00037F0E" w:rsidRDefault="006503AD" w:rsidP="00037F0E">
            <w:pPr>
              <w:rPr>
                <w:rFonts w:asciiTheme="minorHAnsi" w:hAnsiTheme="minorHAnsi" w:cstheme="minorBidi"/>
              </w:rPr>
            </w:pPr>
            <w:r>
              <w:rPr>
                <w:rFonts w:asciiTheme="minorHAnsi" w:hAnsiTheme="minorHAnsi"/>
              </w:rPr>
              <w:t>Development and management of the university campus and real estate owned or used by the university, provision of logistics services, and provision of related support services</w:t>
            </w:r>
          </w:p>
        </w:tc>
        <w:tc>
          <w:tcPr>
            <w:tcW w:w="2835" w:type="dxa"/>
            <w:vAlign w:val="center"/>
            <w:hideMark/>
          </w:tcPr>
          <w:p w14:paraId="656AB4B8" w14:textId="77777777" w:rsidR="006503AD" w:rsidRPr="00017FA2" w:rsidRDefault="006503AD" w:rsidP="00C117A2">
            <w:pPr>
              <w:rPr>
                <w:rFonts w:asciiTheme="minorHAnsi" w:hAnsiTheme="minorHAnsi" w:cstheme="minorHAnsi"/>
                <w:szCs w:val="22"/>
              </w:rPr>
            </w:pPr>
            <w:r>
              <w:rPr>
                <w:rFonts w:asciiTheme="minorHAnsi" w:hAnsiTheme="minorHAnsi"/>
              </w:rPr>
              <w:t>Real Estate Office</w:t>
            </w:r>
          </w:p>
        </w:tc>
      </w:tr>
      <w:tr w:rsidR="006503AD" w:rsidRPr="00017FA2" w14:paraId="6D58C20E" w14:textId="77777777" w:rsidTr="00C117A2">
        <w:trPr>
          <w:trHeight w:val="1020"/>
        </w:trPr>
        <w:tc>
          <w:tcPr>
            <w:tcW w:w="2263" w:type="dxa"/>
            <w:vMerge/>
            <w:vAlign w:val="center"/>
          </w:tcPr>
          <w:p w14:paraId="2EE54017" w14:textId="77777777" w:rsidR="006503AD" w:rsidRPr="00017FA2" w:rsidRDefault="006503AD" w:rsidP="00C117A2">
            <w:pPr>
              <w:rPr>
                <w:rFonts w:asciiTheme="minorHAnsi" w:hAnsiTheme="minorHAnsi" w:cstheme="minorHAnsi"/>
                <w:szCs w:val="22"/>
                <w:lang w:eastAsia="en-GB"/>
              </w:rPr>
            </w:pPr>
          </w:p>
        </w:tc>
        <w:tc>
          <w:tcPr>
            <w:tcW w:w="4253" w:type="dxa"/>
            <w:vAlign w:val="center"/>
          </w:tcPr>
          <w:p w14:paraId="2BD87651" w14:textId="77777777" w:rsidR="006503AD" w:rsidRPr="00017FA2" w:rsidRDefault="006503AD" w:rsidP="00C117A2">
            <w:pPr>
              <w:rPr>
                <w:rFonts w:asciiTheme="minorHAnsi" w:hAnsiTheme="minorHAnsi" w:cstheme="minorHAnsi"/>
                <w:szCs w:val="22"/>
              </w:rPr>
            </w:pPr>
            <w:r>
              <w:rPr>
                <w:rFonts w:asciiTheme="minorHAnsi" w:hAnsiTheme="minorHAnsi"/>
              </w:rPr>
              <w:t>Development and implementation of the staff policy and organisation of employment relations, arranging and development of archiving, administrative services and document management</w:t>
            </w:r>
          </w:p>
        </w:tc>
        <w:tc>
          <w:tcPr>
            <w:tcW w:w="2835" w:type="dxa"/>
            <w:vAlign w:val="center"/>
          </w:tcPr>
          <w:p w14:paraId="2A3FD19A" w14:textId="77777777" w:rsidR="006503AD" w:rsidRPr="00017FA2" w:rsidRDefault="006503AD" w:rsidP="00C117A2">
            <w:pPr>
              <w:rPr>
                <w:rFonts w:asciiTheme="minorHAnsi" w:hAnsiTheme="minorHAnsi" w:cstheme="minorHAnsi"/>
                <w:szCs w:val="22"/>
                <w:highlight w:val="yellow"/>
              </w:rPr>
            </w:pPr>
            <w:r>
              <w:rPr>
                <w:rFonts w:asciiTheme="minorHAnsi" w:hAnsiTheme="minorHAnsi"/>
              </w:rPr>
              <w:t>Human Resources Office</w:t>
            </w:r>
          </w:p>
        </w:tc>
      </w:tr>
    </w:tbl>
    <w:p w14:paraId="01198D60" w14:textId="77777777" w:rsidR="006503AD" w:rsidRPr="00017FA2" w:rsidRDefault="006503AD" w:rsidP="00051BD0"/>
    <w:p w14:paraId="4C5139C5" w14:textId="165B4DA6" w:rsidR="006503AD" w:rsidRPr="00017FA2" w:rsidRDefault="006503AD" w:rsidP="00051BD0">
      <w:pPr>
        <w:pStyle w:val="Loetelu"/>
      </w:pPr>
      <w:r>
        <w:t xml:space="preserve">I hereby repeal “Appointment of heads of areas of responsibility and designation of their fields of activity and their subordinate structural units” (approved by Rector’s directive No 64 of 20 December 2022, amended by Rector’s directive No 2 of 9 </w:t>
      </w:r>
      <w:r w:rsidR="004D4D12">
        <w:t>F</w:t>
      </w:r>
      <w:r>
        <w:t>ebruary 2023, Rector’s directive No 20 of 4 May 2023, Rector’s directive No 27 of 3 July 2023, Rector’s directive No 29 of 13 July 2023, Rector’s directive No 37 of 22 September 2023 and Rector’s directive No 46 of 13 December 2024).</w:t>
      </w:r>
    </w:p>
    <w:p w14:paraId="110552F1" w14:textId="3E76754B" w:rsidR="004B2413" w:rsidRPr="007D4EB8" w:rsidRDefault="006503AD" w:rsidP="00480960">
      <w:pPr>
        <w:pStyle w:val="Loetelu"/>
      </w:pPr>
      <w:r>
        <w:t>The directive shall enter into force on 1 August 2025.</w:t>
      </w:r>
    </w:p>
    <w:p w14:paraId="6FD7CA33" w14:textId="77777777" w:rsidR="001F5F3F" w:rsidRPr="007D4EB8" w:rsidRDefault="001F5F3F" w:rsidP="00F44F64"/>
    <w:sectPr w:rsidR="001F5F3F" w:rsidRPr="007D4EB8" w:rsidSect="00DD10D0">
      <w:headerReference w:type="even" r:id="rId10"/>
      <w:headerReference w:type="default" r:id="rId11"/>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A95D" w14:textId="77777777" w:rsidR="001A070F" w:rsidRDefault="001A070F">
      <w:r>
        <w:separator/>
      </w:r>
    </w:p>
  </w:endnote>
  <w:endnote w:type="continuationSeparator" w:id="0">
    <w:p w14:paraId="52611C3C" w14:textId="77777777" w:rsidR="001A070F" w:rsidRDefault="001A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6523" w14:textId="77777777" w:rsidR="001A070F" w:rsidRDefault="001A070F">
      <w:r>
        <w:separator/>
      </w:r>
    </w:p>
  </w:footnote>
  <w:footnote w:type="continuationSeparator" w:id="0">
    <w:p w14:paraId="73AA2B98" w14:textId="77777777" w:rsidR="001A070F" w:rsidRDefault="001A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A20B" w14:textId="77777777" w:rsidR="00E44CAE" w:rsidRDefault="00E44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34BF" w14:textId="77777777" w:rsidR="00E44CAE" w:rsidRDefault="00E4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58854"/>
      <w:docPartObj>
        <w:docPartGallery w:val="Page Numbers (Top of Page)"/>
        <w:docPartUnique/>
      </w:docPartObj>
    </w:sdtPr>
    <w:sdtEndPr/>
    <w:sdtContent>
      <w:p w14:paraId="36845405" w14:textId="77777777" w:rsidR="00DD10D0" w:rsidRDefault="00DD10D0">
        <w:pPr>
          <w:pStyle w:val="Header"/>
          <w:jc w:val="center"/>
        </w:pPr>
        <w:r>
          <w:fldChar w:fldCharType="begin"/>
        </w:r>
        <w:r>
          <w:instrText>PAGE   \* MERGEFORMAT</w:instrText>
        </w:r>
        <w:r>
          <w:fldChar w:fldCharType="separate"/>
        </w:r>
        <w:r w:rsidR="005D4539">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546521">
    <w:abstractNumId w:val="2"/>
  </w:num>
  <w:num w:numId="2" w16cid:durableId="631400988">
    <w:abstractNumId w:val="3"/>
  </w:num>
  <w:num w:numId="3" w16cid:durableId="1231384816">
    <w:abstractNumId w:val="0"/>
  </w:num>
  <w:num w:numId="4" w16cid:durableId="3500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D2"/>
    <w:rsid w:val="000033B8"/>
    <w:rsid w:val="00005AB4"/>
    <w:rsid w:val="00037F0E"/>
    <w:rsid w:val="00051BD0"/>
    <w:rsid w:val="00094D87"/>
    <w:rsid w:val="00126D9A"/>
    <w:rsid w:val="00145CF9"/>
    <w:rsid w:val="001469C5"/>
    <w:rsid w:val="0015159C"/>
    <w:rsid w:val="00162EB8"/>
    <w:rsid w:val="00166714"/>
    <w:rsid w:val="00191C92"/>
    <w:rsid w:val="00197DF0"/>
    <w:rsid w:val="001A070F"/>
    <w:rsid w:val="001A48DE"/>
    <w:rsid w:val="001F5F3F"/>
    <w:rsid w:val="00216D52"/>
    <w:rsid w:val="00223C38"/>
    <w:rsid w:val="00230558"/>
    <w:rsid w:val="002431BD"/>
    <w:rsid w:val="00252356"/>
    <w:rsid w:val="0026472F"/>
    <w:rsid w:val="00266E9B"/>
    <w:rsid w:val="0027461F"/>
    <w:rsid w:val="002852FB"/>
    <w:rsid w:val="00296B12"/>
    <w:rsid w:val="002F4CFD"/>
    <w:rsid w:val="002F539C"/>
    <w:rsid w:val="003111FD"/>
    <w:rsid w:val="003163B6"/>
    <w:rsid w:val="00320A60"/>
    <w:rsid w:val="00336878"/>
    <w:rsid w:val="003A5175"/>
    <w:rsid w:val="003B1E0E"/>
    <w:rsid w:val="003B3D76"/>
    <w:rsid w:val="003B5D1F"/>
    <w:rsid w:val="003D60BD"/>
    <w:rsid w:val="003E47C5"/>
    <w:rsid w:val="003E79CA"/>
    <w:rsid w:val="003F062B"/>
    <w:rsid w:val="003F6316"/>
    <w:rsid w:val="004472D0"/>
    <w:rsid w:val="00477F32"/>
    <w:rsid w:val="00480960"/>
    <w:rsid w:val="004854D0"/>
    <w:rsid w:val="00490791"/>
    <w:rsid w:val="004A1266"/>
    <w:rsid w:val="004A6074"/>
    <w:rsid w:val="004A642C"/>
    <w:rsid w:val="004A7ED8"/>
    <w:rsid w:val="004B2413"/>
    <w:rsid w:val="004B56CD"/>
    <w:rsid w:val="004C4600"/>
    <w:rsid w:val="004D0133"/>
    <w:rsid w:val="004D4D12"/>
    <w:rsid w:val="004E5E60"/>
    <w:rsid w:val="004F66FD"/>
    <w:rsid w:val="0050306E"/>
    <w:rsid w:val="005548D8"/>
    <w:rsid w:val="00581B1E"/>
    <w:rsid w:val="005916D1"/>
    <w:rsid w:val="00594466"/>
    <w:rsid w:val="005A1C49"/>
    <w:rsid w:val="005C0C52"/>
    <w:rsid w:val="005C5F22"/>
    <w:rsid w:val="005C7E55"/>
    <w:rsid w:val="005D4539"/>
    <w:rsid w:val="005F36F5"/>
    <w:rsid w:val="005F76C6"/>
    <w:rsid w:val="00612761"/>
    <w:rsid w:val="00614C70"/>
    <w:rsid w:val="006503AD"/>
    <w:rsid w:val="00652A11"/>
    <w:rsid w:val="006604B2"/>
    <w:rsid w:val="00675987"/>
    <w:rsid w:val="006779E5"/>
    <w:rsid w:val="006A6A39"/>
    <w:rsid w:val="006B325A"/>
    <w:rsid w:val="006D753A"/>
    <w:rsid w:val="006E287D"/>
    <w:rsid w:val="007402B4"/>
    <w:rsid w:val="007659CF"/>
    <w:rsid w:val="007758BB"/>
    <w:rsid w:val="00780A0D"/>
    <w:rsid w:val="00795AF6"/>
    <w:rsid w:val="007A4F68"/>
    <w:rsid w:val="007C1DCA"/>
    <w:rsid w:val="007D4EB8"/>
    <w:rsid w:val="00800B6E"/>
    <w:rsid w:val="00806B5A"/>
    <w:rsid w:val="00821FA5"/>
    <w:rsid w:val="00844750"/>
    <w:rsid w:val="00862399"/>
    <w:rsid w:val="00884B27"/>
    <w:rsid w:val="008B6D49"/>
    <w:rsid w:val="008D2DCA"/>
    <w:rsid w:val="008D3687"/>
    <w:rsid w:val="008F28A4"/>
    <w:rsid w:val="009545D3"/>
    <w:rsid w:val="009803B9"/>
    <w:rsid w:val="009B5254"/>
    <w:rsid w:val="009D638A"/>
    <w:rsid w:val="009E47B5"/>
    <w:rsid w:val="009F71F0"/>
    <w:rsid w:val="00A03E2A"/>
    <w:rsid w:val="00A51164"/>
    <w:rsid w:val="00A5366F"/>
    <w:rsid w:val="00A6532D"/>
    <w:rsid w:val="00A80116"/>
    <w:rsid w:val="00A80EC2"/>
    <w:rsid w:val="00A86954"/>
    <w:rsid w:val="00AB7B24"/>
    <w:rsid w:val="00AD5469"/>
    <w:rsid w:val="00AD76A1"/>
    <w:rsid w:val="00AF673B"/>
    <w:rsid w:val="00B23C43"/>
    <w:rsid w:val="00B5337C"/>
    <w:rsid w:val="00B71485"/>
    <w:rsid w:val="00B86B6A"/>
    <w:rsid w:val="00B963B9"/>
    <w:rsid w:val="00BA5708"/>
    <w:rsid w:val="00BB7B8E"/>
    <w:rsid w:val="00BC5E2B"/>
    <w:rsid w:val="00BE014C"/>
    <w:rsid w:val="00C0214C"/>
    <w:rsid w:val="00C3154A"/>
    <w:rsid w:val="00C55AEF"/>
    <w:rsid w:val="00C66E0B"/>
    <w:rsid w:val="00C720C2"/>
    <w:rsid w:val="00C77CD2"/>
    <w:rsid w:val="00C82D40"/>
    <w:rsid w:val="00C8602C"/>
    <w:rsid w:val="00CB170A"/>
    <w:rsid w:val="00CC001A"/>
    <w:rsid w:val="00CF503E"/>
    <w:rsid w:val="00D02682"/>
    <w:rsid w:val="00D13088"/>
    <w:rsid w:val="00D15A4C"/>
    <w:rsid w:val="00D22E9C"/>
    <w:rsid w:val="00D26F57"/>
    <w:rsid w:val="00D43664"/>
    <w:rsid w:val="00D50919"/>
    <w:rsid w:val="00D82B72"/>
    <w:rsid w:val="00D9452F"/>
    <w:rsid w:val="00DD10D0"/>
    <w:rsid w:val="00DE0FA8"/>
    <w:rsid w:val="00E00818"/>
    <w:rsid w:val="00E24674"/>
    <w:rsid w:val="00E33B87"/>
    <w:rsid w:val="00E44CAE"/>
    <w:rsid w:val="00E47576"/>
    <w:rsid w:val="00E51D5F"/>
    <w:rsid w:val="00E66704"/>
    <w:rsid w:val="00E7551A"/>
    <w:rsid w:val="00E8728E"/>
    <w:rsid w:val="00E94E83"/>
    <w:rsid w:val="00E969F6"/>
    <w:rsid w:val="00EA7DD5"/>
    <w:rsid w:val="00EB0250"/>
    <w:rsid w:val="00ED183F"/>
    <w:rsid w:val="00ED638D"/>
    <w:rsid w:val="00ED72EA"/>
    <w:rsid w:val="00EE150D"/>
    <w:rsid w:val="00F06F8D"/>
    <w:rsid w:val="00F44F64"/>
    <w:rsid w:val="00F46FA9"/>
    <w:rsid w:val="00F827F0"/>
    <w:rsid w:val="00FA55CC"/>
    <w:rsid w:val="00FC5686"/>
    <w:rsid w:val="00FC7613"/>
    <w:rsid w:val="00FC7FC6"/>
    <w:rsid w:val="00FD2870"/>
    <w:rsid w:val="00FE12E2"/>
    <w:rsid w:val="00FE2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5BEB21B0"/>
  <w15:docId w15:val="{9BEC3D68-5F3C-44A7-9530-5887DDA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GB"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1">
    <w:name w:val="Pealkiri1"/>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paragraph" w:customStyle="1" w:styleId="Pealkiri10">
    <w:name w:val="Pealkiri1"/>
    <w:basedOn w:val="Normal"/>
    <w:next w:val="BodyText"/>
    <w:qFormat/>
    <w:rsid w:val="006503AD"/>
    <w:pPr>
      <w:spacing w:before="960" w:after="600"/>
      <w:ind w:right="5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C8370-4072-4401-98A4-2B1B3A071763}">
  <ds:schemaRefs>
    <ds:schemaRef ds:uri="http://schemas.microsoft.com/sharepoint/v3/contenttype/forms"/>
  </ds:schemaRefs>
</ds:datastoreItem>
</file>

<file path=customXml/itemProps2.xml><?xml version="1.0" encoding="utf-8"?>
<ds:datastoreItem xmlns:ds="http://schemas.openxmlformats.org/officeDocument/2006/customXml" ds:itemID="{5CD8345F-2560-44A1-AF44-A67C34B8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72FA8-EE74-42C8-AA64-A1F1F9AE9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Tõnu Pihelgas</dc:creator>
  <cp:keywords/>
  <dc:description/>
  <cp:lastModifiedBy>Kairi Schütz</cp:lastModifiedBy>
  <cp:revision>2</cp:revision>
  <cp:lastPrinted>2002-08-26T08:36:00Z</cp:lastPrinted>
  <dcterms:created xsi:type="dcterms:W3CDTF">2026-01-23T10:10:00Z</dcterms:created>
  <dcterms:modified xsi:type="dcterms:W3CDTF">2026-01-23T10:10:00Z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