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40A7C" w14:textId="721F3F75" w:rsidR="00037F0E" w:rsidRDefault="00037F0E" w:rsidP="00037F0E">
      <w:pPr>
        <w:pStyle w:val="Tallinn"/>
        <w:tabs>
          <w:tab w:val="left" w:pos="6237"/>
        </w:tabs>
        <w:jc w:val="right"/>
      </w:pPr>
      <w:r>
        <w:t>TERVIKTEKST</w:t>
      </w:r>
    </w:p>
    <w:p w14:paraId="15733BA2" w14:textId="150FD943" w:rsidR="00E7551A" w:rsidRDefault="00037F0E" w:rsidP="00037F0E">
      <w:pPr>
        <w:pStyle w:val="Tallinn"/>
        <w:tabs>
          <w:tab w:val="left" w:pos="6237"/>
        </w:tabs>
        <w:spacing w:before="0" w:after="0"/>
      </w:pPr>
      <w:r>
        <w:t>Kinnitatud rektori 11.07.2025 käskkirjaga nr 20</w:t>
      </w:r>
      <w:r w:rsidR="00D4791E">
        <w:t xml:space="preserve"> (jõusutnud 01.08.2025)</w:t>
      </w:r>
    </w:p>
    <w:p w14:paraId="2A7510C3" w14:textId="27E9A726" w:rsidR="00D4791E" w:rsidRPr="00D4791E" w:rsidRDefault="00D4791E" w:rsidP="00D4791E">
      <w:pPr>
        <w:pStyle w:val="BodyText"/>
      </w:pPr>
      <w:r>
        <w:t xml:space="preserve">Muudetud rektori 23.01.2026 käskkirjaga nr </w:t>
      </w:r>
      <w:r w:rsidR="007C5E1F">
        <w:t>5</w:t>
      </w:r>
    </w:p>
    <w:p w14:paraId="604B5190" w14:textId="77777777" w:rsidR="00037F0E" w:rsidRDefault="00037F0E" w:rsidP="00037F0E">
      <w:pPr>
        <w:pStyle w:val="BodyText"/>
      </w:pPr>
    </w:p>
    <w:p w14:paraId="38D24D97" w14:textId="078A9CFD" w:rsidR="00037F0E" w:rsidRDefault="00037F0E" w:rsidP="00037F0E">
      <w:pPr>
        <w:pStyle w:val="BodyText"/>
      </w:pPr>
      <w:r w:rsidRPr="00037F0E">
        <w:t xml:space="preserve">Redaktsiooni jõustumise kuupäev: </w:t>
      </w:r>
      <w:r w:rsidR="005C78F9">
        <w:t>23.01.2026</w:t>
      </w:r>
    </w:p>
    <w:p w14:paraId="098418BC" w14:textId="77777777" w:rsidR="00037F0E" w:rsidRPr="00037F0E" w:rsidRDefault="00037F0E" w:rsidP="00037F0E">
      <w:pPr>
        <w:pStyle w:val="BodyText"/>
      </w:pPr>
    </w:p>
    <w:p w14:paraId="00C36E0D" w14:textId="75CAE513" w:rsidR="00E7551A" w:rsidRDefault="006503AD" w:rsidP="00037F0E">
      <w:pPr>
        <w:pStyle w:val="Pealkiri1"/>
        <w:spacing w:before="0" w:after="0"/>
        <w:ind w:right="0"/>
        <w:rPr>
          <w:b/>
          <w:bCs/>
        </w:rPr>
      </w:pPr>
      <w:r w:rsidRPr="00037F0E">
        <w:rPr>
          <w:b/>
          <w:bCs/>
        </w:rPr>
        <w:t>Vastutusala juhtide nimetamine ning nende tegevusvaldkondade ja neile alluvate struktuuriüksuste määramine</w:t>
      </w:r>
    </w:p>
    <w:p w14:paraId="7027BD20" w14:textId="77777777" w:rsidR="00037F0E" w:rsidRPr="00037F0E" w:rsidRDefault="00037F0E" w:rsidP="00037F0E">
      <w:pPr>
        <w:pStyle w:val="BodyText"/>
      </w:pPr>
    </w:p>
    <w:p w14:paraId="44A76F44" w14:textId="1FE32725" w:rsidR="006503AD" w:rsidRPr="00017FA2" w:rsidRDefault="006503AD" w:rsidP="00477F32">
      <w:pPr>
        <w:pStyle w:val="Tekst"/>
      </w:pPr>
      <w:r w:rsidRPr="006503AD">
        <w:t>Tuginedes Tallinna Tehnikaülikooli põhikirja</w:t>
      </w:r>
      <w:r w:rsidR="00D13088">
        <w:t xml:space="preserve"> §</w:t>
      </w:r>
      <w:r w:rsidR="00037F0E">
        <w:t xml:space="preserve"> </w:t>
      </w:r>
      <w:r w:rsidR="00D13088">
        <w:t xml:space="preserve">11 punktile </w:t>
      </w:r>
      <w:r w:rsidR="00336878">
        <w:t>8 ja</w:t>
      </w:r>
      <w:r w:rsidR="00D13088">
        <w:t xml:space="preserve"> </w:t>
      </w:r>
      <w:r w:rsidRPr="006503AD">
        <w:t xml:space="preserve">§ 13 </w:t>
      </w:r>
      <w:r w:rsidR="00C66E0B">
        <w:t>lõi</w:t>
      </w:r>
      <w:r w:rsidR="00FC5686">
        <w:t>k</w:t>
      </w:r>
      <w:r w:rsidR="00C66E0B">
        <w:t xml:space="preserve">e 2 </w:t>
      </w:r>
      <w:r w:rsidRPr="006503AD">
        <w:t xml:space="preserve">punktile </w:t>
      </w:r>
      <w:r w:rsidR="00C66E0B">
        <w:t>1</w:t>
      </w:r>
      <w:r w:rsidRPr="006503AD">
        <w:t>:</w:t>
      </w:r>
    </w:p>
    <w:p w14:paraId="344B64D3" w14:textId="77777777" w:rsidR="006503AD" w:rsidRPr="00017FA2" w:rsidRDefault="006503AD" w:rsidP="006503AD">
      <w:pPr>
        <w:pStyle w:val="Loetelu"/>
      </w:pPr>
      <w:r w:rsidRPr="00017FA2">
        <w:t xml:space="preserve">Nimetan Tallinna Tehnikaülikooli vastutusala juhid alljärgnevalt: </w:t>
      </w:r>
    </w:p>
    <w:p w14:paraId="4B67B543" w14:textId="2841163E" w:rsidR="006503AD" w:rsidRDefault="006503AD" w:rsidP="006503AD">
      <w:pPr>
        <w:pStyle w:val="Bodyt"/>
        <w:spacing w:before="20"/>
        <w:jc w:val="both"/>
      </w:pPr>
      <w:r w:rsidRPr="0093196E">
        <w:t xml:space="preserve">teadusprorektor – </w:t>
      </w:r>
      <w:r>
        <w:t>professor Jarek Kurnitski</w:t>
      </w:r>
      <w:r w:rsidR="00037F0E">
        <w:t>;</w:t>
      </w:r>
    </w:p>
    <w:p w14:paraId="64A1B789" w14:textId="45614407" w:rsidR="006503AD" w:rsidRPr="00017FA2" w:rsidRDefault="006503AD" w:rsidP="006503AD">
      <w:pPr>
        <w:pStyle w:val="Bodyt"/>
        <w:spacing w:before="20"/>
        <w:jc w:val="both"/>
      </w:pPr>
      <w:r w:rsidRPr="00017FA2">
        <w:t xml:space="preserve">õppeprorektor – professor </w:t>
      </w:r>
      <w:r>
        <w:t>Ingrid Pappel</w:t>
      </w:r>
      <w:r w:rsidR="00037F0E">
        <w:t>;</w:t>
      </w:r>
    </w:p>
    <w:p w14:paraId="2B0AE7B3" w14:textId="0653F6F4" w:rsidR="006503AD" w:rsidRDefault="006503AD" w:rsidP="006503AD">
      <w:pPr>
        <w:pStyle w:val="Bodyt"/>
        <w:jc w:val="both"/>
      </w:pPr>
      <w:r w:rsidRPr="00017FA2">
        <w:t>ettevõtlusprorektor – Erik Puura</w:t>
      </w:r>
      <w:r w:rsidR="00037F0E">
        <w:t>;</w:t>
      </w:r>
    </w:p>
    <w:p w14:paraId="5C678B34" w14:textId="5E35B3DF" w:rsidR="006503AD" w:rsidRPr="00017FA2" w:rsidRDefault="006503AD" w:rsidP="006503AD">
      <w:pPr>
        <w:pStyle w:val="Bodyt"/>
        <w:jc w:val="both"/>
      </w:pPr>
      <w:r w:rsidRPr="00900D3F">
        <w:t>sihtkapitali ja üliõpilasarengu prorektor</w:t>
      </w:r>
      <w:r w:rsidR="00806B5A">
        <w:t xml:space="preserve"> </w:t>
      </w:r>
      <w:r w:rsidR="00806B5A" w:rsidRPr="00017FA2">
        <w:t>–</w:t>
      </w:r>
      <w:r>
        <w:t xml:space="preserve"> Hendrik Voll</w:t>
      </w:r>
      <w:r w:rsidR="00037F0E">
        <w:t>;</w:t>
      </w:r>
    </w:p>
    <w:p w14:paraId="0B54272E" w14:textId="08330485" w:rsidR="006503AD" w:rsidRPr="00017FA2" w:rsidRDefault="006503AD" w:rsidP="006503AD">
      <w:pPr>
        <w:pStyle w:val="Bodyt"/>
        <w:jc w:val="both"/>
      </w:pPr>
      <w:r w:rsidRPr="00017FA2">
        <w:t>kantsler – Tea Trahov</w:t>
      </w:r>
      <w:r w:rsidR="00037F0E">
        <w:t>.</w:t>
      </w:r>
    </w:p>
    <w:p w14:paraId="366FC8A8" w14:textId="77777777" w:rsidR="006503AD" w:rsidRPr="00017FA2" w:rsidRDefault="006503AD" w:rsidP="006503AD">
      <w:pPr>
        <w:pStyle w:val="Loetelu"/>
        <w:jc w:val="both"/>
      </w:pPr>
      <w:r w:rsidRPr="00017FA2">
        <w:t xml:space="preserve">Määran vastutusala juhtide tegevusvaldkonnad ja neile alluvad tugistruktuuriüksused järgmiselt: </w:t>
      </w:r>
    </w:p>
    <w:tbl>
      <w:tblPr>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263"/>
        <w:gridCol w:w="4253"/>
        <w:gridCol w:w="2835"/>
      </w:tblGrid>
      <w:tr w:rsidR="006503AD" w:rsidRPr="00017FA2" w14:paraId="6AFE2290" w14:textId="77777777" w:rsidTr="00C117A2">
        <w:trPr>
          <w:trHeight w:val="300"/>
        </w:trPr>
        <w:tc>
          <w:tcPr>
            <w:tcW w:w="2263" w:type="dxa"/>
            <w:vAlign w:val="center"/>
            <w:hideMark/>
          </w:tcPr>
          <w:p w14:paraId="7971B0AA" w14:textId="77777777" w:rsidR="006503AD" w:rsidRPr="00017FA2" w:rsidRDefault="006503AD" w:rsidP="00C117A2">
            <w:pPr>
              <w:rPr>
                <w:rFonts w:asciiTheme="minorHAnsi" w:hAnsiTheme="minorHAnsi" w:cstheme="minorHAnsi"/>
                <w:bCs/>
                <w:szCs w:val="22"/>
                <w:lang w:eastAsia="en-GB"/>
              </w:rPr>
            </w:pPr>
            <w:r w:rsidRPr="00017FA2">
              <w:rPr>
                <w:rFonts w:asciiTheme="minorHAnsi" w:hAnsiTheme="minorHAnsi" w:cstheme="minorHAnsi"/>
                <w:bCs/>
                <w:szCs w:val="22"/>
                <w:lang w:eastAsia="en-GB"/>
              </w:rPr>
              <w:t>Ametikoht</w:t>
            </w:r>
          </w:p>
        </w:tc>
        <w:tc>
          <w:tcPr>
            <w:tcW w:w="4253" w:type="dxa"/>
            <w:vAlign w:val="center"/>
            <w:hideMark/>
          </w:tcPr>
          <w:p w14:paraId="19936F95" w14:textId="77777777" w:rsidR="006503AD" w:rsidRPr="00017FA2" w:rsidRDefault="006503AD" w:rsidP="00C117A2">
            <w:pPr>
              <w:rPr>
                <w:rFonts w:asciiTheme="minorHAnsi" w:hAnsiTheme="minorHAnsi" w:cstheme="minorHAnsi"/>
                <w:bCs/>
                <w:szCs w:val="22"/>
                <w:lang w:eastAsia="en-GB"/>
              </w:rPr>
            </w:pPr>
            <w:r w:rsidRPr="00017FA2">
              <w:rPr>
                <w:rFonts w:asciiTheme="minorHAnsi" w:hAnsiTheme="minorHAnsi" w:cstheme="minorHAnsi"/>
                <w:bCs/>
                <w:szCs w:val="22"/>
                <w:lang w:eastAsia="en-GB"/>
              </w:rPr>
              <w:t>Tegevusvaldkond</w:t>
            </w:r>
          </w:p>
        </w:tc>
        <w:tc>
          <w:tcPr>
            <w:tcW w:w="2835" w:type="dxa"/>
            <w:vAlign w:val="center"/>
            <w:hideMark/>
          </w:tcPr>
          <w:p w14:paraId="482C6A7D" w14:textId="77777777" w:rsidR="006503AD" w:rsidRPr="00017FA2" w:rsidRDefault="006503AD" w:rsidP="00C117A2">
            <w:pPr>
              <w:rPr>
                <w:rFonts w:asciiTheme="minorHAnsi" w:hAnsiTheme="minorHAnsi" w:cstheme="minorHAnsi"/>
                <w:bCs/>
                <w:szCs w:val="22"/>
                <w:lang w:eastAsia="en-GB"/>
              </w:rPr>
            </w:pPr>
            <w:r w:rsidRPr="00017FA2">
              <w:rPr>
                <w:rFonts w:asciiTheme="minorHAnsi" w:hAnsiTheme="minorHAnsi" w:cstheme="minorHAnsi"/>
                <w:bCs/>
                <w:szCs w:val="22"/>
                <w:lang w:eastAsia="en-GB"/>
              </w:rPr>
              <w:t>Tugistruktuuriüksus</w:t>
            </w:r>
          </w:p>
        </w:tc>
      </w:tr>
      <w:tr w:rsidR="006503AD" w:rsidRPr="00017FA2" w14:paraId="48C84254" w14:textId="77777777" w:rsidTr="007C1DCA">
        <w:trPr>
          <w:trHeight w:val="300"/>
        </w:trPr>
        <w:tc>
          <w:tcPr>
            <w:tcW w:w="2263" w:type="dxa"/>
            <w:vMerge w:val="restart"/>
            <w:vAlign w:val="center"/>
            <w:hideMark/>
          </w:tcPr>
          <w:p w14:paraId="3280D065"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Teadusprorektor</w:t>
            </w:r>
          </w:p>
        </w:tc>
        <w:tc>
          <w:tcPr>
            <w:tcW w:w="4253" w:type="dxa"/>
            <w:vMerge w:val="restart"/>
            <w:hideMark/>
          </w:tcPr>
          <w:p w14:paraId="12C783B1"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Teadustegevus, sh doktoriõpe, raamatu</w:t>
            </w:r>
            <w:r>
              <w:rPr>
                <w:rFonts w:asciiTheme="minorHAnsi" w:hAnsiTheme="minorHAnsi" w:cstheme="minorHAnsi"/>
                <w:szCs w:val="22"/>
                <w:lang w:eastAsia="en-GB"/>
              </w:rPr>
              <w:t>ko</w:t>
            </w:r>
            <w:r w:rsidRPr="00017FA2">
              <w:rPr>
                <w:rFonts w:asciiTheme="minorHAnsi" w:hAnsiTheme="minorHAnsi" w:cstheme="minorHAnsi"/>
                <w:szCs w:val="22"/>
                <w:lang w:eastAsia="en-GB"/>
              </w:rPr>
              <w:t>gundus ja kirjastustegevus</w:t>
            </w:r>
          </w:p>
        </w:tc>
        <w:tc>
          <w:tcPr>
            <w:tcW w:w="2835" w:type="dxa"/>
            <w:vAlign w:val="center"/>
            <w:hideMark/>
          </w:tcPr>
          <w:p w14:paraId="0B13DE58" w14:textId="77777777" w:rsidR="006503AD"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Raamatukogu</w:t>
            </w:r>
          </w:p>
          <w:p w14:paraId="14457C8F" w14:textId="77777777" w:rsidR="006503AD" w:rsidRPr="00017FA2" w:rsidRDefault="006503AD" w:rsidP="00C117A2">
            <w:pPr>
              <w:rPr>
                <w:rFonts w:asciiTheme="minorHAnsi" w:hAnsiTheme="minorHAnsi" w:cstheme="minorHAnsi"/>
                <w:szCs w:val="22"/>
                <w:lang w:eastAsia="en-GB"/>
              </w:rPr>
            </w:pPr>
          </w:p>
        </w:tc>
      </w:tr>
      <w:tr w:rsidR="006503AD" w:rsidRPr="00017FA2" w14:paraId="3495D9AF" w14:textId="77777777" w:rsidTr="00C117A2">
        <w:trPr>
          <w:trHeight w:val="300"/>
        </w:trPr>
        <w:tc>
          <w:tcPr>
            <w:tcW w:w="2263" w:type="dxa"/>
            <w:vMerge/>
            <w:vAlign w:val="center"/>
            <w:hideMark/>
          </w:tcPr>
          <w:p w14:paraId="45A57C30" w14:textId="77777777" w:rsidR="006503AD" w:rsidRPr="00017FA2" w:rsidRDefault="006503AD" w:rsidP="00C117A2">
            <w:pPr>
              <w:rPr>
                <w:rFonts w:asciiTheme="minorHAnsi" w:hAnsiTheme="minorHAnsi" w:cstheme="minorHAnsi"/>
                <w:szCs w:val="22"/>
                <w:lang w:eastAsia="en-GB"/>
              </w:rPr>
            </w:pPr>
          </w:p>
        </w:tc>
        <w:tc>
          <w:tcPr>
            <w:tcW w:w="4253" w:type="dxa"/>
            <w:vMerge/>
            <w:vAlign w:val="center"/>
            <w:hideMark/>
          </w:tcPr>
          <w:p w14:paraId="789A17F3" w14:textId="77777777" w:rsidR="006503AD" w:rsidRPr="00017FA2" w:rsidRDefault="006503AD" w:rsidP="00C117A2">
            <w:pPr>
              <w:rPr>
                <w:rFonts w:asciiTheme="minorHAnsi" w:hAnsiTheme="minorHAnsi" w:cstheme="minorHAnsi"/>
                <w:szCs w:val="22"/>
                <w:lang w:eastAsia="en-GB"/>
              </w:rPr>
            </w:pPr>
          </w:p>
        </w:tc>
        <w:tc>
          <w:tcPr>
            <w:tcW w:w="2835" w:type="dxa"/>
            <w:vAlign w:val="center"/>
            <w:hideMark/>
          </w:tcPr>
          <w:p w14:paraId="4A95AF4D" w14:textId="77777777" w:rsidR="006503AD"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Teadusosakond</w:t>
            </w:r>
          </w:p>
          <w:p w14:paraId="6B72F7B5" w14:textId="77777777" w:rsidR="006503AD" w:rsidRPr="00017FA2" w:rsidRDefault="006503AD" w:rsidP="00C117A2">
            <w:pPr>
              <w:rPr>
                <w:rFonts w:asciiTheme="minorHAnsi" w:hAnsiTheme="minorHAnsi" w:cstheme="minorHAnsi"/>
                <w:szCs w:val="22"/>
                <w:lang w:eastAsia="en-GB"/>
              </w:rPr>
            </w:pPr>
          </w:p>
        </w:tc>
      </w:tr>
      <w:tr w:rsidR="006503AD" w:rsidRPr="00017FA2" w14:paraId="3B6DA6EE" w14:textId="77777777" w:rsidTr="00C117A2">
        <w:trPr>
          <w:trHeight w:val="228"/>
        </w:trPr>
        <w:tc>
          <w:tcPr>
            <w:tcW w:w="2263" w:type="dxa"/>
            <w:vMerge/>
            <w:vAlign w:val="center"/>
            <w:hideMark/>
          </w:tcPr>
          <w:p w14:paraId="73CCDD05" w14:textId="77777777" w:rsidR="006503AD" w:rsidRPr="00017FA2" w:rsidRDefault="006503AD" w:rsidP="00C117A2">
            <w:pPr>
              <w:rPr>
                <w:rFonts w:asciiTheme="minorHAnsi" w:hAnsiTheme="minorHAnsi" w:cstheme="minorHAnsi"/>
                <w:szCs w:val="22"/>
                <w:lang w:eastAsia="en-GB"/>
              </w:rPr>
            </w:pPr>
          </w:p>
        </w:tc>
        <w:tc>
          <w:tcPr>
            <w:tcW w:w="4253" w:type="dxa"/>
            <w:vMerge/>
            <w:vAlign w:val="center"/>
            <w:hideMark/>
          </w:tcPr>
          <w:p w14:paraId="15480FD7" w14:textId="77777777" w:rsidR="006503AD" w:rsidRPr="00017FA2" w:rsidRDefault="006503AD" w:rsidP="00C117A2">
            <w:pPr>
              <w:rPr>
                <w:rFonts w:asciiTheme="minorHAnsi" w:hAnsiTheme="minorHAnsi" w:cstheme="minorHAnsi"/>
                <w:szCs w:val="22"/>
                <w:lang w:eastAsia="en-GB"/>
              </w:rPr>
            </w:pPr>
          </w:p>
        </w:tc>
        <w:tc>
          <w:tcPr>
            <w:tcW w:w="2835" w:type="dxa"/>
            <w:vAlign w:val="center"/>
          </w:tcPr>
          <w:p w14:paraId="08946AE0" w14:textId="77777777" w:rsidR="006503AD" w:rsidRDefault="006503AD" w:rsidP="00C117A2">
            <w:pPr>
              <w:rPr>
                <w:rFonts w:asciiTheme="minorHAnsi" w:hAnsiTheme="minorHAnsi" w:cstheme="minorHAnsi"/>
                <w:szCs w:val="22"/>
                <w:lang w:eastAsia="en-GB"/>
              </w:rPr>
            </w:pPr>
            <w:proofErr w:type="spellStart"/>
            <w:r w:rsidRPr="00017FA2">
              <w:rPr>
                <w:rFonts w:asciiTheme="minorHAnsi" w:hAnsiTheme="minorHAnsi" w:cstheme="minorHAnsi"/>
                <w:szCs w:val="22"/>
                <w:lang w:eastAsia="en-GB"/>
              </w:rPr>
              <w:t>FinEst</w:t>
            </w:r>
            <w:proofErr w:type="spellEnd"/>
            <w:r w:rsidRPr="00017FA2">
              <w:rPr>
                <w:rFonts w:asciiTheme="minorHAnsi" w:hAnsiTheme="minorHAnsi" w:cstheme="minorHAnsi"/>
                <w:szCs w:val="22"/>
                <w:lang w:eastAsia="en-GB"/>
              </w:rPr>
              <w:t xml:space="preserve"> Targa linna tippkeskus </w:t>
            </w:r>
          </w:p>
          <w:p w14:paraId="40D4B697" w14:textId="77777777" w:rsidR="006503AD" w:rsidRPr="00017FA2" w:rsidRDefault="006503AD" w:rsidP="00C117A2">
            <w:pPr>
              <w:rPr>
                <w:rFonts w:asciiTheme="minorHAnsi" w:hAnsiTheme="minorHAnsi" w:cstheme="minorHAnsi"/>
                <w:szCs w:val="22"/>
                <w:lang w:eastAsia="en-GB"/>
              </w:rPr>
            </w:pPr>
          </w:p>
        </w:tc>
      </w:tr>
      <w:tr w:rsidR="00824EF4" w:rsidRPr="00017FA2" w14:paraId="031D1BEA" w14:textId="77777777" w:rsidTr="00C117A2">
        <w:trPr>
          <w:trHeight w:val="283"/>
        </w:trPr>
        <w:tc>
          <w:tcPr>
            <w:tcW w:w="2263" w:type="dxa"/>
            <w:vMerge w:val="restart"/>
            <w:vAlign w:val="center"/>
            <w:hideMark/>
          </w:tcPr>
          <w:p w14:paraId="78A9DDC3" w14:textId="77777777" w:rsidR="00824EF4" w:rsidRPr="00017FA2" w:rsidRDefault="00824EF4" w:rsidP="00C117A2">
            <w:pPr>
              <w:rPr>
                <w:rFonts w:asciiTheme="minorHAnsi" w:hAnsiTheme="minorHAnsi" w:cstheme="minorHAnsi"/>
                <w:szCs w:val="22"/>
                <w:lang w:eastAsia="en-GB"/>
              </w:rPr>
            </w:pPr>
            <w:r w:rsidRPr="00017FA2">
              <w:rPr>
                <w:rFonts w:asciiTheme="minorHAnsi" w:hAnsiTheme="minorHAnsi" w:cstheme="minorHAnsi"/>
                <w:szCs w:val="22"/>
                <w:lang w:eastAsia="en-GB"/>
              </w:rPr>
              <w:t>Õppeprorektor</w:t>
            </w:r>
          </w:p>
        </w:tc>
        <w:tc>
          <w:tcPr>
            <w:tcW w:w="4253" w:type="dxa"/>
            <w:vMerge w:val="restart"/>
            <w:vAlign w:val="center"/>
            <w:hideMark/>
          </w:tcPr>
          <w:p w14:paraId="27AD71DC" w14:textId="77777777" w:rsidR="00824EF4" w:rsidRDefault="00824EF4" w:rsidP="00C117A2">
            <w:pPr>
              <w:rPr>
                <w:rFonts w:asciiTheme="minorHAnsi" w:hAnsiTheme="minorHAnsi" w:cstheme="minorHAnsi"/>
                <w:szCs w:val="22"/>
                <w:lang w:eastAsia="en-GB"/>
              </w:rPr>
            </w:pPr>
            <w:r w:rsidRPr="00017FA2">
              <w:rPr>
                <w:rFonts w:asciiTheme="minorHAnsi" w:hAnsiTheme="minorHAnsi" w:cstheme="minorHAnsi"/>
                <w:szCs w:val="22"/>
                <w:lang w:eastAsia="en-GB"/>
              </w:rPr>
              <w:t xml:space="preserve">Õppetegevus (v.a doktoriõpe), </w:t>
            </w:r>
            <w:proofErr w:type="spellStart"/>
            <w:r>
              <w:rPr>
                <w:rFonts w:asciiTheme="minorHAnsi" w:hAnsiTheme="minorHAnsi" w:cstheme="minorHAnsi"/>
                <w:szCs w:val="22"/>
                <w:lang w:eastAsia="en-GB"/>
              </w:rPr>
              <w:t>EuroTeQ</w:t>
            </w:r>
            <w:proofErr w:type="spellEnd"/>
            <w:r>
              <w:rPr>
                <w:rFonts w:asciiTheme="minorHAnsi" w:hAnsiTheme="minorHAnsi" w:cstheme="minorHAnsi"/>
                <w:szCs w:val="22"/>
                <w:lang w:eastAsia="en-GB"/>
              </w:rPr>
              <w:t xml:space="preserve">, </w:t>
            </w:r>
            <w:r w:rsidRPr="00017FA2">
              <w:rPr>
                <w:rFonts w:asciiTheme="minorHAnsi" w:hAnsiTheme="minorHAnsi" w:cstheme="minorHAnsi"/>
                <w:szCs w:val="22"/>
                <w:lang w:eastAsia="en-GB"/>
              </w:rPr>
              <w:t>koostöö üliõpilaskonna</w:t>
            </w:r>
            <w:r>
              <w:rPr>
                <w:rFonts w:asciiTheme="minorHAnsi" w:hAnsiTheme="minorHAnsi" w:cstheme="minorHAnsi"/>
                <w:szCs w:val="22"/>
                <w:lang w:eastAsia="en-GB"/>
              </w:rPr>
              <w:t xml:space="preserve"> haridusvaldkonnaga</w:t>
            </w:r>
            <w:r w:rsidRPr="00017FA2">
              <w:rPr>
                <w:rFonts w:asciiTheme="minorHAnsi" w:hAnsiTheme="minorHAnsi" w:cstheme="minorHAnsi"/>
                <w:szCs w:val="22"/>
                <w:lang w:eastAsia="en-GB"/>
              </w:rPr>
              <w:t>,</w:t>
            </w:r>
          </w:p>
          <w:p w14:paraId="43F5CDAD" w14:textId="6010CBB0" w:rsidR="00824EF4" w:rsidRPr="00017FA2" w:rsidRDefault="00824EF4" w:rsidP="00C117A2">
            <w:pPr>
              <w:rPr>
                <w:rFonts w:asciiTheme="minorHAnsi" w:hAnsiTheme="minorHAnsi" w:cstheme="minorHAnsi"/>
                <w:szCs w:val="22"/>
                <w:lang w:eastAsia="en-GB"/>
              </w:rPr>
            </w:pPr>
            <w:r>
              <w:rPr>
                <w:rFonts w:asciiTheme="minorHAnsi" w:hAnsiTheme="minorHAnsi" w:cstheme="minorHAnsi"/>
                <w:szCs w:val="22"/>
                <w:lang w:eastAsia="en-GB"/>
              </w:rPr>
              <w:t>mikrokraadid, avatud õpe, täiendusõpe</w:t>
            </w:r>
          </w:p>
        </w:tc>
        <w:tc>
          <w:tcPr>
            <w:tcW w:w="2835" w:type="dxa"/>
            <w:vAlign w:val="center"/>
            <w:hideMark/>
          </w:tcPr>
          <w:p w14:paraId="47E04DFF" w14:textId="77777777" w:rsidR="00824EF4" w:rsidRPr="00017FA2" w:rsidRDefault="00824EF4" w:rsidP="00C117A2">
            <w:pPr>
              <w:rPr>
                <w:rFonts w:asciiTheme="minorHAnsi" w:hAnsiTheme="minorHAnsi" w:cstheme="minorHAnsi"/>
                <w:szCs w:val="22"/>
                <w:lang w:eastAsia="en-GB"/>
              </w:rPr>
            </w:pPr>
            <w:r w:rsidRPr="00017FA2">
              <w:rPr>
                <w:rFonts w:asciiTheme="minorHAnsi" w:hAnsiTheme="minorHAnsi" w:cstheme="minorHAnsi"/>
                <w:szCs w:val="22"/>
                <w:lang w:eastAsia="en-GB"/>
              </w:rPr>
              <w:t>Õppeosakond</w:t>
            </w:r>
          </w:p>
        </w:tc>
      </w:tr>
      <w:tr w:rsidR="00824EF4" w:rsidRPr="00017FA2" w14:paraId="181A8E5F" w14:textId="77777777" w:rsidTr="00C117A2">
        <w:trPr>
          <w:trHeight w:val="576"/>
        </w:trPr>
        <w:tc>
          <w:tcPr>
            <w:tcW w:w="2263" w:type="dxa"/>
            <w:vMerge/>
            <w:vAlign w:val="center"/>
            <w:hideMark/>
          </w:tcPr>
          <w:p w14:paraId="0EC47F2E" w14:textId="77777777" w:rsidR="00824EF4" w:rsidRPr="00017FA2" w:rsidRDefault="00824EF4" w:rsidP="00C117A2">
            <w:pPr>
              <w:rPr>
                <w:rFonts w:asciiTheme="minorHAnsi" w:hAnsiTheme="minorHAnsi" w:cstheme="minorHAnsi"/>
                <w:szCs w:val="22"/>
                <w:lang w:eastAsia="en-GB"/>
              </w:rPr>
            </w:pPr>
          </w:p>
        </w:tc>
        <w:tc>
          <w:tcPr>
            <w:tcW w:w="4253" w:type="dxa"/>
            <w:vMerge/>
            <w:vAlign w:val="center"/>
            <w:hideMark/>
          </w:tcPr>
          <w:p w14:paraId="234FD0C5" w14:textId="77777777" w:rsidR="00824EF4" w:rsidRPr="00017FA2" w:rsidRDefault="00824EF4" w:rsidP="00C117A2">
            <w:pPr>
              <w:rPr>
                <w:rFonts w:asciiTheme="minorHAnsi" w:hAnsiTheme="minorHAnsi" w:cstheme="minorHAnsi"/>
                <w:szCs w:val="22"/>
                <w:lang w:eastAsia="en-GB"/>
              </w:rPr>
            </w:pPr>
          </w:p>
        </w:tc>
        <w:tc>
          <w:tcPr>
            <w:tcW w:w="2835" w:type="dxa"/>
            <w:vAlign w:val="center"/>
            <w:hideMark/>
          </w:tcPr>
          <w:p w14:paraId="4808E3DE" w14:textId="77777777" w:rsidR="00824EF4" w:rsidRPr="00900D3F" w:rsidRDefault="00824EF4" w:rsidP="00C117A2">
            <w:pPr>
              <w:rPr>
                <w:rFonts w:asciiTheme="minorHAnsi" w:hAnsiTheme="minorHAnsi" w:cstheme="minorHAnsi"/>
                <w:szCs w:val="22"/>
                <w:highlight w:val="yellow"/>
                <w:lang w:eastAsia="en-GB"/>
              </w:rPr>
            </w:pPr>
            <w:r w:rsidRPr="00C117A2">
              <w:rPr>
                <w:rFonts w:asciiTheme="minorHAnsi" w:hAnsiTheme="minorHAnsi" w:cstheme="minorHAnsi"/>
                <w:szCs w:val="22"/>
                <w:lang w:eastAsia="en-GB"/>
              </w:rPr>
              <w:t xml:space="preserve">Avatud ülikool </w:t>
            </w:r>
          </w:p>
        </w:tc>
      </w:tr>
      <w:tr w:rsidR="00824EF4" w:rsidRPr="00017FA2" w14:paraId="04A7DD50" w14:textId="77777777" w:rsidTr="00C117A2">
        <w:trPr>
          <w:trHeight w:val="576"/>
        </w:trPr>
        <w:tc>
          <w:tcPr>
            <w:tcW w:w="2263" w:type="dxa"/>
            <w:vMerge/>
            <w:vAlign w:val="center"/>
          </w:tcPr>
          <w:p w14:paraId="054A272B" w14:textId="77777777" w:rsidR="00824EF4" w:rsidRPr="00017FA2" w:rsidRDefault="00824EF4" w:rsidP="00C117A2">
            <w:pPr>
              <w:rPr>
                <w:rFonts w:asciiTheme="minorHAnsi" w:hAnsiTheme="minorHAnsi" w:cstheme="minorHAnsi"/>
                <w:szCs w:val="22"/>
                <w:lang w:eastAsia="en-GB"/>
              </w:rPr>
            </w:pPr>
          </w:p>
        </w:tc>
        <w:tc>
          <w:tcPr>
            <w:tcW w:w="4253" w:type="dxa"/>
            <w:vMerge/>
            <w:vAlign w:val="center"/>
          </w:tcPr>
          <w:p w14:paraId="08CD5F50" w14:textId="77777777" w:rsidR="00824EF4" w:rsidRPr="00017FA2" w:rsidRDefault="00824EF4" w:rsidP="00C117A2">
            <w:pPr>
              <w:rPr>
                <w:rFonts w:asciiTheme="minorHAnsi" w:hAnsiTheme="minorHAnsi" w:cstheme="minorHAnsi"/>
                <w:szCs w:val="22"/>
                <w:lang w:eastAsia="en-GB"/>
              </w:rPr>
            </w:pPr>
          </w:p>
        </w:tc>
        <w:tc>
          <w:tcPr>
            <w:tcW w:w="2835" w:type="dxa"/>
            <w:vAlign w:val="center"/>
          </w:tcPr>
          <w:p w14:paraId="49CE2680" w14:textId="1074AA7F" w:rsidR="00824EF4" w:rsidRPr="00C117A2" w:rsidRDefault="005D373B" w:rsidP="00C117A2">
            <w:pPr>
              <w:rPr>
                <w:rFonts w:asciiTheme="minorHAnsi" w:hAnsiTheme="minorHAnsi" w:cstheme="minorHAnsi"/>
                <w:szCs w:val="22"/>
                <w:lang w:eastAsia="en-GB"/>
              </w:rPr>
            </w:pPr>
            <w:r w:rsidRPr="005D373B">
              <w:rPr>
                <w:rFonts w:asciiTheme="minorHAnsi" w:hAnsiTheme="minorHAnsi" w:cstheme="minorHAnsi"/>
                <w:szCs w:val="22"/>
                <w:lang w:eastAsia="en-GB"/>
              </w:rPr>
              <w:t>Haridusinnovatsioonikeskus</w:t>
            </w:r>
            <w:r w:rsidR="005C78F9">
              <w:rPr>
                <w:rFonts w:asciiTheme="minorHAnsi" w:hAnsiTheme="minorHAnsi" w:cstheme="minorHAnsi"/>
                <w:szCs w:val="22"/>
                <w:lang w:eastAsia="en-GB"/>
              </w:rPr>
              <w:t xml:space="preserve"> [jõustunud 23.01.2026]</w:t>
            </w:r>
          </w:p>
        </w:tc>
      </w:tr>
      <w:tr w:rsidR="006503AD" w:rsidRPr="00017FA2" w14:paraId="27682C8B" w14:textId="77777777" w:rsidTr="00C117A2">
        <w:trPr>
          <w:trHeight w:val="805"/>
        </w:trPr>
        <w:tc>
          <w:tcPr>
            <w:tcW w:w="2263" w:type="dxa"/>
            <w:vMerge w:val="restart"/>
            <w:vAlign w:val="center"/>
            <w:hideMark/>
          </w:tcPr>
          <w:p w14:paraId="4DD49A5E"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Ettevõtlusprorektor</w:t>
            </w:r>
          </w:p>
        </w:tc>
        <w:tc>
          <w:tcPr>
            <w:tcW w:w="4253" w:type="dxa"/>
            <w:vMerge w:val="restart"/>
            <w:vAlign w:val="center"/>
            <w:hideMark/>
          </w:tcPr>
          <w:p w14:paraId="7032E967" w14:textId="77777777" w:rsidR="006503AD" w:rsidRPr="00017FA2" w:rsidRDefault="006503AD" w:rsidP="00C117A2">
            <w:r w:rsidRPr="00017FA2">
              <w:rPr>
                <w:rFonts w:asciiTheme="minorHAnsi" w:hAnsiTheme="minorHAnsi" w:cstheme="minorHAnsi"/>
                <w:szCs w:val="22"/>
                <w:lang w:eastAsia="en-GB"/>
              </w:rPr>
              <w:t>I</w:t>
            </w:r>
            <w:r w:rsidRPr="00017FA2">
              <w:t>nnovatsiooni- ja ettevõtlusalane koostöö, teadmus- ja tehnoloogiasiire, intellektuaalse omandi kaitse ja teadmuse kommertsialiseerimise koordineerimine, partnerlussuhete koordineerimine, ettevõtlikkuse edendamine</w:t>
            </w:r>
          </w:p>
          <w:p w14:paraId="6C310BC7" w14:textId="77777777" w:rsidR="006503AD" w:rsidRPr="00017FA2" w:rsidRDefault="006503AD" w:rsidP="00C117A2">
            <w:pPr>
              <w:rPr>
                <w:rFonts w:asciiTheme="minorHAnsi" w:hAnsiTheme="minorHAnsi" w:cstheme="minorHAnsi"/>
                <w:szCs w:val="22"/>
                <w:lang w:eastAsia="en-GB"/>
              </w:rPr>
            </w:pPr>
          </w:p>
        </w:tc>
        <w:tc>
          <w:tcPr>
            <w:tcW w:w="2835" w:type="dxa"/>
            <w:vAlign w:val="center"/>
            <w:hideMark/>
          </w:tcPr>
          <w:p w14:paraId="309DB8C5" w14:textId="77777777" w:rsidR="006503AD"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Ettevõtlusosakond</w:t>
            </w:r>
          </w:p>
          <w:p w14:paraId="2DC63190"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 xml:space="preserve"> </w:t>
            </w:r>
          </w:p>
        </w:tc>
      </w:tr>
      <w:tr w:rsidR="006503AD" w:rsidRPr="00017FA2" w14:paraId="50153D95" w14:textId="77777777" w:rsidTr="00C117A2">
        <w:trPr>
          <w:trHeight w:val="805"/>
        </w:trPr>
        <w:tc>
          <w:tcPr>
            <w:tcW w:w="2263" w:type="dxa"/>
            <w:vMerge/>
            <w:vAlign w:val="center"/>
          </w:tcPr>
          <w:p w14:paraId="6281920E" w14:textId="77777777" w:rsidR="006503AD" w:rsidRPr="00017FA2" w:rsidRDefault="006503AD" w:rsidP="00C117A2">
            <w:pPr>
              <w:rPr>
                <w:rFonts w:asciiTheme="minorHAnsi" w:hAnsiTheme="minorHAnsi" w:cstheme="minorHAnsi"/>
                <w:szCs w:val="22"/>
                <w:lang w:eastAsia="en-GB"/>
              </w:rPr>
            </w:pPr>
          </w:p>
        </w:tc>
        <w:tc>
          <w:tcPr>
            <w:tcW w:w="4253" w:type="dxa"/>
            <w:vMerge/>
            <w:vAlign w:val="center"/>
          </w:tcPr>
          <w:p w14:paraId="1FCD20D1" w14:textId="77777777" w:rsidR="006503AD" w:rsidRPr="00017FA2" w:rsidRDefault="006503AD" w:rsidP="00C117A2">
            <w:pPr>
              <w:rPr>
                <w:rFonts w:asciiTheme="minorHAnsi" w:hAnsiTheme="minorHAnsi" w:cstheme="minorHAnsi"/>
                <w:szCs w:val="22"/>
                <w:lang w:eastAsia="en-GB"/>
              </w:rPr>
            </w:pPr>
          </w:p>
        </w:tc>
        <w:tc>
          <w:tcPr>
            <w:tcW w:w="2835" w:type="dxa"/>
            <w:vAlign w:val="center"/>
          </w:tcPr>
          <w:p w14:paraId="1B70C3D3"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Tehisintellekti- ja robootikakeskus AIRE</w:t>
            </w:r>
          </w:p>
        </w:tc>
      </w:tr>
      <w:tr w:rsidR="006503AD" w:rsidRPr="00017FA2" w14:paraId="15A29E04" w14:textId="77777777" w:rsidTr="00C117A2">
        <w:trPr>
          <w:trHeight w:val="805"/>
        </w:trPr>
        <w:tc>
          <w:tcPr>
            <w:tcW w:w="2263" w:type="dxa"/>
            <w:vMerge w:val="restart"/>
            <w:vAlign w:val="center"/>
          </w:tcPr>
          <w:p w14:paraId="59E8655A" w14:textId="77777777" w:rsidR="006503AD" w:rsidRPr="00017FA2" w:rsidRDefault="006503AD" w:rsidP="00C117A2">
            <w:pPr>
              <w:rPr>
                <w:rFonts w:asciiTheme="minorHAnsi" w:hAnsiTheme="minorHAnsi" w:cstheme="minorHAnsi"/>
                <w:szCs w:val="22"/>
                <w:lang w:eastAsia="en-GB"/>
              </w:rPr>
            </w:pPr>
            <w:r>
              <w:rPr>
                <w:rFonts w:asciiTheme="minorHAnsi" w:hAnsiTheme="minorHAnsi" w:cstheme="minorHAnsi"/>
                <w:szCs w:val="22"/>
                <w:lang w:eastAsia="en-GB"/>
              </w:rPr>
              <w:t>S</w:t>
            </w:r>
            <w:r w:rsidRPr="00900D3F">
              <w:rPr>
                <w:rFonts w:asciiTheme="minorHAnsi" w:hAnsiTheme="minorHAnsi" w:cstheme="minorHAnsi"/>
                <w:szCs w:val="22"/>
                <w:lang w:eastAsia="en-GB"/>
              </w:rPr>
              <w:t>ihtkapitali ja üliõpilasarengu prorektor</w:t>
            </w:r>
          </w:p>
        </w:tc>
        <w:tc>
          <w:tcPr>
            <w:tcW w:w="4253" w:type="dxa"/>
            <w:vMerge w:val="restart"/>
            <w:vAlign w:val="center"/>
          </w:tcPr>
          <w:p w14:paraId="438520EF" w14:textId="161397C2" w:rsidR="006503AD" w:rsidRPr="00017FA2" w:rsidRDefault="006503AD" w:rsidP="00C117A2">
            <w:pPr>
              <w:rPr>
                <w:rFonts w:asciiTheme="minorHAnsi" w:hAnsiTheme="minorHAnsi" w:cstheme="minorHAnsi"/>
                <w:szCs w:val="22"/>
                <w:lang w:eastAsia="en-GB"/>
              </w:rPr>
            </w:pPr>
            <w:r>
              <w:rPr>
                <w:rFonts w:asciiTheme="minorHAnsi" w:hAnsiTheme="minorHAnsi" w:cstheme="minorHAnsi"/>
                <w:szCs w:val="22"/>
                <w:lang w:eastAsia="en-GB"/>
              </w:rPr>
              <w:t xml:space="preserve">Inseneri sihtkapital, Arengufondi stipendiumid, </w:t>
            </w:r>
            <w:r w:rsidRPr="00BF4F27">
              <w:rPr>
                <w:rFonts w:asciiTheme="minorHAnsi" w:hAnsiTheme="minorHAnsi" w:cstheme="minorHAnsi"/>
                <w:szCs w:val="22"/>
                <w:lang w:eastAsia="en-GB"/>
              </w:rPr>
              <w:t>vilistlasliikumine</w:t>
            </w:r>
            <w:r>
              <w:rPr>
                <w:rFonts w:asciiTheme="minorHAnsi" w:hAnsiTheme="minorHAnsi" w:cstheme="minorHAnsi"/>
                <w:szCs w:val="22"/>
                <w:lang w:eastAsia="en-GB"/>
              </w:rPr>
              <w:t>, üliõpilaskonna tudengielu valdkond,</w:t>
            </w:r>
            <w:r w:rsidRPr="00900D3F">
              <w:rPr>
                <w:rFonts w:asciiTheme="minorHAnsi" w:hAnsiTheme="minorHAnsi" w:cstheme="minorHAnsi"/>
                <w:szCs w:val="22"/>
                <w:highlight w:val="yellow"/>
                <w:lang w:eastAsia="en-GB"/>
              </w:rPr>
              <w:t xml:space="preserve"> </w:t>
            </w:r>
            <w:r w:rsidRPr="00C117A2">
              <w:rPr>
                <w:rFonts w:asciiTheme="minorHAnsi" w:hAnsiTheme="minorHAnsi" w:cstheme="minorHAnsi"/>
                <w:szCs w:val="22"/>
                <w:lang w:eastAsia="en-GB"/>
              </w:rPr>
              <w:t xml:space="preserve">sporditegevus, </w:t>
            </w:r>
            <w:r>
              <w:rPr>
                <w:rFonts w:asciiTheme="minorHAnsi" w:hAnsiTheme="minorHAnsi" w:cstheme="minorHAnsi"/>
                <w:szCs w:val="22"/>
                <w:lang w:eastAsia="en-GB"/>
              </w:rPr>
              <w:t xml:space="preserve">tehnoloogiakool, eksami- ja olümpiaadikool, </w:t>
            </w:r>
            <w:proofErr w:type="spellStart"/>
            <w:r>
              <w:rPr>
                <w:rFonts w:asciiTheme="minorHAnsi" w:hAnsiTheme="minorHAnsi" w:cstheme="minorHAnsi"/>
                <w:szCs w:val="22"/>
                <w:lang w:eastAsia="en-GB"/>
              </w:rPr>
              <w:t>Unicorn</w:t>
            </w:r>
            <w:proofErr w:type="spellEnd"/>
            <w:r>
              <w:rPr>
                <w:rFonts w:asciiTheme="minorHAnsi" w:hAnsiTheme="minorHAnsi" w:cstheme="minorHAnsi"/>
                <w:szCs w:val="22"/>
                <w:lang w:eastAsia="en-GB"/>
              </w:rPr>
              <w:t xml:space="preserve"> </w:t>
            </w:r>
            <w:proofErr w:type="spellStart"/>
            <w:r>
              <w:rPr>
                <w:rFonts w:asciiTheme="minorHAnsi" w:hAnsiTheme="minorHAnsi" w:cstheme="minorHAnsi"/>
                <w:szCs w:val="22"/>
                <w:lang w:eastAsia="en-GB"/>
              </w:rPr>
              <w:t>Squad</w:t>
            </w:r>
            <w:proofErr w:type="spellEnd"/>
            <w:r>
              <w:rPr>
                <w:rFonts w:asciiTheme="minorHAnsi" w:hAnsiTheme="minorHAnsi" w:cstheme="minorHAnsi"/>
                <w:szCs w:val="22"/>
                <w:lang w:eastAsia="en-GB"/>
              </w:rPr>
              <w:t>, Põhja-Ameerika teabekeskus</w:t>
            </w:r>
          </w:p>
        </w:tc>
        <w:tc>
          <w:tcPr>
            <w:tcW w:w="2835" w:type="dxa"/>
            <w:vAlign w:val="center"/>
          </w:tcPr>
          <w:p w14:paraId="654D5899" w14:textId="77777777" w:rsidR="006503AD" w:rsidRPr="00C117A2" w:rsidRDefault="006503AD" w:rsidP="00C117A2">
            <w:pPr>
              <w:rPr>
                <w:rFonts w:asciiTheme="minorHAnsi" w:hAnsiTheme="minorHAnsi" w:cstheme="minorHAnsi"/>
                <w:szCs w:val="22"/>
                <w:lang w:eastAsia="en-GB"/>
              </w:rPr>
            </w:pPr>
            <w:r w:rsidRPr="00C117A2">
              <w:rPr>
                <w:rFonts w:asciiTheme="minorHAnsi" w:hAnsiTheme="minorHAnsi" w:cstheme="minorHAnsi"/>
                <w:szCs w:val="22"/>
                <w:lang w:eastAsia="en-GB"/>
              </w:rPr>
              <w:t>Vilistlasliikumise ja toetussuhete osakond</w:t>
            </w:r>
          </w:p>
          <w:p w14:paraId="634CD560" w14:textId="77777777" w:rsidR="006503AD" w:rsidRPr="00017FA2" w:rsidRDefault="006503AD" w:rsidP="00C117A2">
            <w:pPr>
              <w:rPr>
                <w:rFonts w:asciiTheme="minorHAnsi" w:hAnsiTheme="minorHAnsi" w:cstheme="minorHAnsi"/>
                <w:szCs w:val="22"/>
                <w:lang w:eastAsia="en-GB"/>
              </w:rPr>
            </w:pPr>
          </w:p>
        </w:tc>
      </w:tr>
      <w:tr w:rsidR="006503AD" w:rsidRPr="00017FA2" w14:paraId="0C6F0F94" w14:textId="77777777" w:rsidTr="00C117A2">
        <w:trPr>
          <w:trHeight w:val="805"/>
        </w:trPr>
        <w:tc>
          <w:tcPr>
            <w:tcW w:w="2263" w:type="dxa"/>
            <w:vMerge/>
            <w:vAlign w:val="center"/>
          </w:tcPr>
          <w:p w14:paraId="1A94C6A3" w14:textId="77777777" w:rsidR="006503AD" w:rsidRDefault="006503AD" w:rsidP="00C117A2">
            <w:pPr>
              <w:rPr>
                <w:rFonts w:asciiTheme="minorHAnsi" w:hAnsiTheme="minorHAnsi" w:cstheme="minorHAnsi"/>
                <w:szCs w:val="22"/>
                <w:lang w:eastAsia="en-GB"/>
              </w:rPr>
            </w:pPr>
          </w:p>
        </w:tc>
        <w:tc>
          <w:tcPr>
            <w:tcW w:w="4253" w:type="dxa"/>
            <w:vMerge/>
            <w:vAlign w:val="center"/>
          </w:tcPr>
          <w:p w14:paraId="5895241E" w14:textId="77777777" w:rsidR="006503AD" w:rsidRDefault="006503AD" w:rsidP="00C117A2">
            <w:pPr>
              <w:rPr>
                <w:rFonts w:asciiTheme="minorHAnsi" w:hAnsiTheme="minorHAnsi" w:cstheme="minorHAnsi"/>
                <w:szCs w:val="22"/>
                <w:lang w:eastAsia="en-GB"/>
              </w:rPr>
            </w:pPr>
          </w:p>
        </w:tc>
        <w:tc>
          <w:tcPr>
            <w:tcW w:w="2835" w:type="dxa"/>
            <w:vAlign w:val="center"/>
          </w:tcPr>
          <w:p w14:paraId="6C9788FC" w14:textId="77777777" w:rsidR="006503AD" w:rsidRPr="00900D3F" w:rsidRDefault="006503AD" w:rsidP="00C117A2">
            <w:pPr>
              <w:rPr>
                <w:rFonts w:asciiTheme="minorHAnsi" w:hAnsiTheme="minorHAnsi" w:cstheme="minorHAnsi"/>
                <w:szCs w:val="22"/>
                <w:highlight w:val="yellow"/>
                <w:lang w:eastAsia="en-GB"/>
              </w:rPr>
            </w:pPr>
            <w:r w:rsidRPr="00C117A2">
              <w:rPr>
                <w:rFonts w:asciiTheme="minorHAnsi" w:hAnsiTheme="minorHAnsi" w:cstheme="minorHAnsi"/>
                <w:szCs w:val="22"/>
                <w:lang w:eastAsia="en-GB"/>
              </w:rPr>
              <w:t>Järelkasvukeskus</w:t>
            </w:r>
          </w:p>
        </w:tc>
      </w:tr>
      <w:tr w:rsidR="006503AD" w:rsidRPr="00017FA2" w14:paraId="20C143E9" w14:textId="77777777" w:rsidTr="00C117A2">
        <w:trPr>
          <w:trHeight w:val="458"/>
        </w:trPr>
        <w:tc>
          <w:tcPr>
            <w:tcW w:w="2263" w:type="dxa"/>
            <w:vMerge w:val="restart"/>
            <w:vAlign w:val="center"/>
            <w:hideMark/>
          </w:tcPr>
          <w:p w14:paraId="1BB56720"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Kantsler</w:t>
            </w:r>
          </w:p>
        </w:tc>
        <w:tc>
          <w:tcPr>
            <w:tcW w:w="4253" w:type="dxa"/>
            <w:noWrap/>
            <w:hideMark/>
          </w:tcPr>
          <w:p w14:paraId="1941FF9C"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IT-taristu ja süsteemide haldus ning arendus</w:t>
            </w:r>
          </w:p>
        </w:tc>
        <w:tc>
          <w:tcPr>
            <w:tcW w:w="2835" w:type="dxa"/>
            <w:hideMark/>
          </w:tcPr>
          <w:p w14:paraId="13F7B401"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Infotehnoloogia osakond</w:t>
            </w:r>
          </w:p>
        </w:tc>
      </w:tr>
      <w:tr w:rsidR="006503AD" w:rsidRPr="00017FA2" w14:paraId="053D7131" w14:textId="77777777" w:rsidTr="00C117A2">
        <w:trPr>
          <w:trHeight w:val="1425"/>
        </w:trPr>
        <w:tc>
          <w:tcPr>
            <w:tcW w:w="2263" w:type="dxa"/>
            <w:vMerge/>
            <w:vAlign w:val="center"/>
            <w:hideMark/>
          </w:tcPr>
          <w:p w14:paraId="3157084E" w14:textId="77777777" w:rsidR="006503AD" w:rsidRPr="00017FA2" w:rsidRDefault="006503AD" w:rsidP="00C117A2">
            <w:pPr>
              <w:rPr>
                <w:rFonts w:asciiTheme="minorHAnsi" w:hAnsiTheme="minorHAnsi" w:cstheme="minorHAnsi"/>
                <w:szCs w:val="22"/>
                <w:lang w:eastAsia="en-GB"/>
              </w:rPr>
            </w:pPr>
          </w:p>
        </w:tc>
        <w:tc>
          <w:tcPr>
            <w:tcW w:w="4253" w:type="dxa"/>
            <w:vAlign w:val="center"/>
            <w:hideMark/>
          </w:tcPr>
          <w:p w14:paraId="72E656D3"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 xml:space="preserve">Ülikooli turunduse ja kommunikatsioonitegevuse juhtimine ja elluviimine, mis hõlmab </w:t>
            </w:r>
            <w:proofErr w:type="spellStart"/>
            <w:r w:rsidRPr="00017FA2">
              <w:rPr>
                <w:rFonts w:asciiTheme="minorHAnsi" w:hAnsiTheme="minorHAnsi" w:cstheme="minorHAnsi"/>
                <w:szCs w:val="22"/>
                <w:lang w:eastAsia="en-GB"/>
              </w:rPr>
              <w:t>sise</w:t>
            </w:r>
            <w:proofErr w:type="spellEnd"/>
            <w:r w:rsidRPr="00017FA2">
              <w:rPr>
                <w:rFonts w:asciiTheme="minorHAnsi" w:hAnsiTheme="minorHAnsi" w:cstheme="minorHAnsi"/>
                <w:szCs w:val="22"/>
                <w:lang w:eastAsia="en-GB"/>
              </w:rPr>
              <w:t>- ja väliskommunikatsiooni, brändi ja sümboolika, maine- ja vastuvõtuturunduse tegevuste, e-kanalite arengu, ülikooli sündmuste, rahvusvaheliste koostöösuhete koordineerimist ja korraldust</w:t>
            </w:r>
          </w:p>
        </w:tc>
        <w:tc>
          <w:tcPr>
            <w:tcW w:w="2835" w:type="dxa"/>
            <w:vAlign w:val="center"/>
            <w:hideMark/>
          </w:tcPr>
          <w:p w14:paraId="099DC93A"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Turunduse ja kommunikatsiooni osakond</w:t>
            </w:r>
          </w:p>
        </w:tc>
      </w:tr>
      <w:tr w:rsidR="006503AD" w:rsidRPr="00017FA2" w14:paraId="72A02411" w14:textId="77777777" w:rsidTr="00862399">
        <w:trPr>
          <w:trHeight w:val="664"/>
        </w:trPr>
        <w:tc>
          <w:tcPr>
            <w:tcW w:w="2263" w:type="dxa"/>
            <w:vMerge/>
            <w:vAlign w:val="center"/>
            <w:hideMark/>
          </w:tcPr>
          <w:p w14:paraId="212C2458" w14:textId="77777777" w:rsidR="006503AD" w:rsidRPr="00017FA2" w:rsidRDefault="006503AD" w:rsidP="00C117A2">
            <w:pPr>
              <w:rPr>
                <w:rFonts w:asciiTheme="minorHAnsi" w:hAnsiTheme="minorHAnsi" w:cstheme="minorHAnsi"/>
                <w:szCs w:val="22"/>
                <w:lang w:eastAsia="en-GB"/>
              </w:rPr>
            </w:pPr>
          </w:p>
        </w:tc>
        <w:tc>
          <w:tcPr>
            <w:tcW w:w="4253" w:type="dxa"/>
            <w:hideMark/>
          </w:tcPr>
          <w:p w14:paraId="357AF8A5" w14:textId="77777777" w:rsidR="006503AD" w:rsidRPr="00017FA2" w:rsidRDefault="006503AD" w:rsidP="005C5F22">
            <w:pPr>
              <w:spacing w:after="240"/>
              <w:rPr>
                <w:rFonts w:asciiTheme="minorHAnsi" w:hAnsiTheme="minorHAnsi" w:cstheme="minorHAnsi"/>
                <w:szCs w:val="22"/>
                <w:lang w:eastAsia="en-GB"/>
              </w:rPr>
            </w:pPr>
            <w:r w:rsidRPr="00017FA2">
              <w:rPr>
                <w:rFonts w:asciiTheme="minorHAnsi" w:hAnsiTheme="minorHAnsi" w:cstheme="minorHAnsi"/>
                <w:szCs w:val="22"/>
                <w:lang w:eastAsia="en-GB"/>
              </w:rPr>
              <w:t>Finants-majandustegevuse (sh riigihangete) korraldamine ja arendamine</w:t>
            </w:r>
          </w:p>
        </w:tc>
        <w:tc>
          <w:tcPr>
            <w:tcW w:w="2835" w:type="dxa"/>
            <w:hideMark/>
          </w:tcPr>
          <w:p w14:paraId="49A1A004" w14:textId="77777777" w:rsidR="006503AD" w:rsidRPr="00017FA2" w:rsidRDefault="006503AD" w:rsidP="00C117A2">
            <w:pPr>
              <w:rPr>
                <w:rFonts w:asciiTheme="minorHAnsi" w:hAnsiTheme="minorHAnsi" w:cstheme="minorHAnsi"/>
                <w:szCs w:val="22"/>
                <w:lang w:eastAsia="en-GB"/>
              </w:rPr>
            </w:pPr>
          </w:p>
          <w:p w14:paraId="58849DA2"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Rahandusosakond</w:t>
            </w:r>
          </w:p>
        </w:tc>
      </w:tr>
      <w:tr w:rsidR="006503AD" w:rsidRPr="00017FA2" w14:paraId="49A3E06B" w14:textId="77777777" w:rsidTr="00037F0E">
        <w:trPr>
          <w:trHeight w:val="699"/>
        </w:trPr>
        <w:tc>
          <w:tcPr>
            <w:tcW w:w="2263" w:type="dxa"/>
            <w:vMerge/>
            <w:vAlign w:val="center"/>
            <w:hideMark/>
          </w:tcPr>
          <w:p w14:paraId="0494A6AD" w14:textId="77777777" w:rsidR="006503AD" w:rsidRPr="00017FA2" w:rsidRDefault="006503AD" w:rsidP="00C117A2">
            <w:pPr>
              <w:rPr>
                <w:rFonts w:asciiTheme="minorHAnsi" w:hAnsiTheme="minorHAnsi" w:cstheme="minorHAnsi"/>
                <w:szCs w:val="22"/>
                <w:lang w:eastAsia="en-GB"/>
              </w:rPr>
            </w:pPr>
          </w:p>
        </w:tc>
        <w:tc>
          <w:tcPr>
            <w:tcW w:w="4253" w:type="dxa"/>
            <w:vAlign w:val="center"/>
            <w:hideMark/>
          </w:tcPr>
          <w:p w14:paraId="55CAF01F" w14:textId="7AFDC760" w:rsidR="00037F0E" w:rsidRPr="00037F0E" w:rsidRDefault="006503AD" w:rsidP="00037F0E">
            <w:pPr>
              <w:rPr>
                <w:rFonts w:asciiTheme="minorHAnsi" w:hAnsiTheme="minorHAnsi" w:cstheme="minorBidi"/>
                <w:lang w:eastAsia="en-GB"/>
              </w:rPr>
            </w:pPr>
            <w:r w:rsidRPr="00017FA2">
              <w:rPr>
                <w:rFonts w:asciiTheme="minorHAnsi" w:hAnsiTheme="minorHAnsi" w:cstheme="minorBidi"/>
                <w:lang w:eastAsia="en-GB"/>
              </w:rPr>
              <w:t xml:space="preserve">Ülikooli linnakute ja ülikooli omandis või kasutuses oleva kinnisvara arendamine ja </w:t>
            </w:r>
            <w:r w:rsidRPr="00017FA2">
              <w:rPr>
                <w:rFonts w:asciiTheme="minorHAnsi" w:hAnsiTheme="minorHAnsi" w:cstheme="minorBidi"/>
                <w:lang w:eastAsia="en-GB"/>
              </w:rPr>
              <w:lastRenderedPageBreak/>
              <w:t>haldamine, vara haldamine, logistikateenuse osutamine</w:t>
            </w:r>
            <w:r>
              <w:rPr>
                <w:rFonts w:asciiTheme="minorHAnsi" w:hAnsiTheme="minorHAnsi" w:cstheme="minorBidi"/>
                <w:lang w:eastAsia="en-GB"/>
              </w:rPr>
              <w:t xml:space="preserve"> </w:t>
            </w:r>
            <w:r w:rsidRPr="00017FA2">
              <w:rPr>
                <w:rFonts w:asciiTheme="minorHAnsi" w:hAnsiTheme="minorHAnsi" w:cstheme="minorBidi"/>
                <w:lang w:eastAsia="en-GB"/>
              </w:rPr>
              <w:t xml:space="preserve">ning </w:t>
            </w:r>
            <w:r>
              <w:rPr>
                <w:rFonts w:asciiTheme="minorHAnsi" w:hAnsiTheme="minorHAnsi" w:cstheme="minorBidi"/>
                <w:lang w:eastAsia="en-GB"/>
              </w:rPr>
              <w:t xml:space="preserve">nendega </w:t>
            </w:r>
            <w:r w:rsidRPr="00017FA2">
              <w:rPr>
                <w:rFonts w:asciiTheme="minorHAnsi" w:hAnsiTheme="minorHAnsi" w:cstheme="minorBidi"/>
                <w:lang w:eastAsia="en-GB"/>
              </w:rPr>
              <w:t>seotud tugiteenuste pakkumine</w:t>
            </w:r>
          </w:p>
        </w:tc>
        <w:tc>
          <w:tcPr>
            <w:tcW w:w="2835" w:type="dxa"/>
            <w:vAlign w:val="center"/>
            <w:hideMark/>
          </w:tcPr>
          <w:p w14:paraId="656AB4B8"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lastRenderedPageBreak/>
              <w:t>Kinnisvaraosakond</w:t>
            </w:r>
          </w:p>
        </w:tc>
      </w:tr>
      <w:tr w:rsidR="006503AD" w:rsidRPr="00017FA2" w14:paraId="6D58C20E" w14:textId="77777777" w:rsidTr="00C117A2">
        <w:trPr>
          <w:trHeight w:val="1020"/>
        </w:trPr>
        <w:tc>
          <w:tcPr>
            <w:tcW w:w="2263" w:type="dxa"/>
            <w:vMerge/>
            <w:vAlign w:val="center"/>
          </w:tcPr>
          <w:p w14:paraId="2EE54017" w14:textId="77777777" w:rsidR="006503AD" w:rsidRPr="00017FA2" w:rsidRDefault="006503AD" w:rsidP="00C117A2">
            <w:pPr>
              <w:rPr>
                <w:rFonts w:asciiTheme="minorHAnsi" w:hAnsiTheme="minorHAnsi" w:cstheme="minorHAnsi"/>
                <w:szCs w:val="22"/>
                <w:lang w:eastAsia="en-GB"/>
              </w:rPr>
            </w:pPr>
          </w:p>
        </w:tc>
        <w:tc>
          <w:tcPr>
            <w:tcW w:w="4253" w:type="dxa"/>
            <w:vAlign w:val="center"/>
          </w:tcPr>
          <w:p w14:paraId="2BD87651" w14:textId="77777777" w:rsidR="006503AD" w:rsidRPr="00017FA2" w:rsidRDefault="006503AD" w:rsidP="00C117A2">
            <w:pPr>
              <w:rPr>
                <w:rFonts w:asciiTheme="minorHAnsi" w:hAnsiTheme="minorHAnsi" w:cstheme="minorHAnsi"/>
                <w:szCs w:val="22"/>
                <w:lang w:eastAsia="en-GB"/>
              </w:rPr>
            </w:pPr>
            <w:r w:rsidRPr="00017FA2">
              <w:rPr>
                <w:rFonts w:asciiTheme="minorHAnsi" w:hAnsiTheme="minorHAnsi" w:cstheme="minorHAnsi"/>
                <w:szCs w:val="22"/>
                <w:lang w:eastAsia="en-GB"/>
              </w:rPr>
              <w:t>Personalipoliitika arendamine ja elluviimine ning töösuhete korraldamine, samuti arhiivinduse, asjaajamise ning dokumendihalduse korraldamine ja arendamine</w:t>
            </w:r>
          </w:p>
        </w:tc>
        <w:tc>
          <w:tcPr>
            <w:tcW w:w="2835" w:type="dxa"/>
            <w:vAlign w:val="center"/>
          </w:tcPr>
          <w:p w14:paraId="2A3FD19A" w14:textId="77777777" w:rsidR="006503AD" w:rsidRPr="00017FA2" w:rsidRDefault="006503AD" w:rsidP="00C117A2">
            <w:pPr>
              <w:rPr>
                <w:rFonts w:asciiTheme="minorHAnsi" w:hAnsiTheme="minorHAnsi" w:cstheme="minorHAnsi"/>
                <w:szCs w:val="22"/>
                <w:highlight w:val="yellow"/>
                <w:lang w:eastAsia="en-GB"/>
              </w:rPr>
            </w:pPr>
            <w:r w:rsidRPr="00017FA2">
              <w:rPr>
                <w:rFonts w:asciiTheme="minorHAnsi" w:hAnsiTheme="minorHAnsi" w:cstheme="minorHAnsi"/>
                <w:szCs w:val="22"/>
                <w:lang w:eastAsia="en-GB"/>
              </w:rPr>
              <w:t>Personaliosakond</w:t>
            </w:r>
          </w:p>
        </w:tc>
      </w:tr>
    </w:tbl>
    <w:p w14:paraId="01198D60" w14:textId="77777777" w:rsidR="006503AD" w:rsidRPr="00017FA2" w:rsidRDefault="006503AD" w:rsidP="00051BD0"/>
    <w:p w14:paraId="4C5139C5" w14:textId="0B9282CD" w:rsidR="006503AD" w:rsidRPr="00017FA2" w:rsidRDefault="006503AD" w:rsidP="00051BD0">
      <w:pPr>
        <w:pStyle w:val="Loetelu"/>
      </w:pPr>
      <w:r w:rsidRPr="00017FA2">
        <w:t xml:space="preserve">Tunnistan kehtetuks vastutusala juhtide nimetamise ning nende tegevusvaldkondade ja neile alluvate struktuuriüksuste määramise (kinnitatud rektori </w:t>
      </w:r>
      <w:r w:rsidRPr="00AD7A6C">
        <w:t>20.12.2022 käskkirjaga nr 64</w:t>
      </w:r>
      <w:r w:rsidRPr="003D60BD">
        <w:t>, muudetud</w:t>
      </w:r>
      <w:r w:rsidR="003D60BD">
        <w:t xml:space="preserve"> </w:t>
      </w:r>
      <w:r>
        <w:t>rektori 09.02.2023 käskkirjaga nr 2, rektori 04.05.2023 käskkirjaga nr 20, rektori 03.07.2023 käskkirjaga nr 27, rektori 13.07.2023 käskkirjaga nr 29 rektori 22.09.2023 käskkirjaga nr 37 ja rektori 13.12.2024 käskkirjaga nr 46</w:t>
      </w:r>
      <w:r w:rsidRPr="00017FA2">
        <w:t>).</w:t>
      </w:r>
    </w:p>
    <w:p w14:paraId="110552F1" w14:textId="3E76754B" w:rsidR="004B2413" w:rsidRPr="007D4EB8" w:rsidRDefault="006503AD" w:rsidP="00480960">
      <w:pPr>
        <w:pStyle w:val="Loetelu"/>
      </w:pPr>
      <w:r w:rsidRPr="00017FA2">
        <w:t xml:space="preserve">Käskkiri jõustub 1. </w:t>
      </w:r>
      <w:r>
        <w:t>august</w:t>
      </w:r>
      <w:r w:rsidRPr="00017FA2">
        <w:t xml:space="preserve"> 202</w:t>
      </w:r>
      <w:r>
        <w:t>5</w:t>
      </w:r>
      <w:r w:rsidRPr="00017FA2">
        <w:t>.</w:t>
      </w:r>
    </w:p>
    <w:p w14:paraId="6FD7CA33" w14:textId="77777777" w:rsidR="001F5F3F" w:rsidRPr="007D4EB8" w:rsidRDefault="001F5F3F" w:rsidP="00F44F64"/>
    <w:sectPr w:rsidR="001F5F3F" w:rsidRPr="007D4EB8" w:rsidSect="00DD10D0">
      <w:headerReference w:type="even" r:id="rId10"/>
      <w:headerReference w:type="default" r:id="rId11"/>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5E96" w14:textId="77777777" w:rsidR="00230558" w:rsidRDefault="00230558">
      <w:r>
        <w:separator/>
      </w:r>
    </w:p>
  </w:endnote>
  <w:endnote w:type="continuationSeparator" w:id="0">
    <w:p w14:paraId="67DF75C2" w14:textId="77777777" w:rsidR="00230558" w:rsidRDefault="0023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87CF7" w14:textId="77777777" w:rsidR="00230558" w:rsidRDefault="00230558">
      <w:r>
        <w:separator/>
      </w:r>
    </w:p>
  </w:footnote>
  <w:footnote w:type="continuationSeparator" w:id="0">
    <w:p w14:paraId="58DED2F1" w14:textId="77777777" w:rsidR="00230558" w:rsidRDefault="002305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EA20B" w14:textId="77777777" w:rsidR="00E44CAE" w:rsidRDefault="00E44C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47B34BF" w14:textId="77777777" w:rsidR="00E44CAE" w:rsidRDefault="00E44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058854"/>
      <w:docPartObj>
        <w:docPartGallery w:val="Page Numbers (Top of Page)"/>
        <w:docPartUnique/>
      </w:docPartObj>
    </w:sdtPr>
    <w:sdtEndPr/>
    <w:sdtContent>
      <w:p w14:paraId="36845405" w14:textId="77777777" w:rsidR="00DD10D0" w:rsidRDefault="00DD10D0">
        <w:pPr>
          <w:pStyle w:val="Header"/>
          <w:jc w:val="center"/>
        </w:pPr>
        <w:r>
          <w:fldChar w:fldCharType="begin"/>
        </w:r>
        <w:r>
          <w:instrText>PAGE   \* MERGEFORMAT</w:instrText>
        </w:r>
        <w:r>
          <w:fldChar w:fldCharType="separate"/>
        </w:r>
        <w:r w:rsidR="005D453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35274B8"/>
    <w:multiLevelType w:val="multilevel"/>
    <w:tmpl w:val="A152323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6546521">
    <w:abstractNumId w:val="2"/>
  </w:num>
  <w:num w:numId="2" w16cid:durableId="631400988">
    <w:abstractNumId w:val="3"/>
  </w:num>
  <w:num w:numId="3" w16cid:durableId="1231384816">
    <w:abstractNumId w:val="0"/>
  </w:num>
  <w:num w:numId="4" w16cid:durableId="350076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CD2"/>
    <w:rsid w:val="000033B8"/>
    <w:rsid w:val="00005AB4"/>
    <w:rsid w:val="00037F0E"/>
    <w:rsid w:val="00051BD0"/>
    <w:rsid w:val="00094D87"/>
    <w:rsid w:val="00145CF9"/>
    <w:rsid w:val="001469C5"/>
    <w:rsid w:val="0015159C"/>
    <w:rsid w:val="00166714"/>
    <w:rsid w:val="00191C92"/>
    <w:rsid w:val="00197DF0"/>
    <w:rsid w:val="001A48DE"/>
    <w:rsid w:val="001F5F3F"/>
    <w:rsid w:val="00216D52"/>
    <w:rsid w:val="00223C38"/>
    <w:rsid w:val="00230558"/>
    <w:rsid w:val="002431BD"/>
    <w:rsid w:val="00252356"/>
    <w:rsid w:val="0026472F"/>
    <w:rsid w:val="00266E9B"/>
    <w:rsid w:val="0027461F"/>
    <w:rsid w:val="002852FB"/>
    <w:rsid w:val="00296B12"/>
    <w:rsid w:val="002F4CFD"/>
    <w:rsid w:val="002F539C"/>
    <w:rsid w:val="003111FD"/>
    <w:rsid w:val="00320A60"/>
    <w:rsid w:val="00336878"/>
    <w:rsid w:val="003A5175"/>
    <w:rsid w:val="003B1E0E"/>
    <w:rsid w:val="003B3D76"/>
    <w:rsid w:val="003B5D1F"/>
    <w:rsid w:val="003D60BD"/>
    <w:rsid w:val="003E47C5"/>
    <w:rsid w:val="003E79CA"/>
    <w:rsid w:val="003F062B"/>
    <w:rsid w:val="003F6316"/>
    <w:rsid w:val="00477F32"/>
    <w:rsid w:val="00480960"/>
    <w:rsid w:val="004854D0"/>
    <w:rsid w:val="00490791"/>
    <w:rsid w:val="004A1266"/>
    <w:rsid w:val="004A6074"/>
    <w:rsid w:val="004A642C"/>
    <w:rsid w:val="004A7ED8"/>
    <w:rsid w:val="004B2413"/>
    <w:rsid w:val="004B56CD"/>
    <w:rsid w:val="004C4600"/>
    <w:rsid w:val="004E5E60"/>
    <w:rsid w:val="004F66FD"/>
    <w:rsid w:val="0050306E"/>
    <w:rsid w:val="005548D8"/>
    <w:rsid w:val="00581B1E"/>
    <w:rsid w:val="005916D1"/>
    <w:rsid w:val="00594466"/>
    <w:rsid w:val="005A1C49"/>
    <w:rsid w:val="005C0C52"/>
    <w:rsid w:val="005C5F22"/>
    <w:rsid w:val="005C78F9"/>
    <w:rsid w:val="005C7E55"/>
    <w:rsid w:val="005D373B"/>
    <w:rsid w:val="005D4539"/>
    <w:rsid w:val="005F36F5"/>
    <w:rsid w:val="005F76C6"/>
    <w:rsid w:val="00612761"/>
    <w:rsid w:val="00614C70"/>
    <w:rsid w:val="006503AD"/>
    <w:rsid w:val="00652A11"/>
    <w:rsid w:val="006604B2"/>
    <w:rsid w:val="00675987"/>
    <w:rsid w:val="006779E5"/>
    <w:rsid w:val="006A6A39"/>
    <w:rsid w:val="006B325A"/>
    <w:rsid w:val="006D753A"/>
    <w:rsid w:val="006E287D"/>
    <w:rsid w:val="007402B4"/>
    <w:rsid w:val="00780A0D"/>
    <w:rsid w:val="00795AF6"/>
    <w:rsid w:val="007A4F68"/>
    <w:rsid w:val="007C1DCA"/>
    <w:rsid w:val="007C5E1F"/>
    <w:rsid w:val="007D4EB8"/>
    <w:rsid w:val="00800B6E"/>
    <w:rsid w:val="00806B5A"/>
    <w:rsid w:val="00821FA5"/>
    <w:rsid w:val="00824EF4"/>
    <w:rsid w:val="00844750"/>
    <w:rsid w:val="00862399"/>
    <w:rsid w:val="00884B27"/>
    <w:rsid w:val="008B6D49"/>
    <w:rsid w:val="008D2DCA"/>
    <w:rsid w:val="008D3687"/>
    <w:rsid w:val="008F28A4"/>
    <w:rsid w:val="009545D3"/>
    <w:rsid w:val="009B5254"/>
    <w:rsid w:val="009D638A"/>
    <w:rsid w:val="009E47B5"/>
    <w:rsid w:val="009F71F0"/>
    <w:rsid w:val="00A03E2A"/>
    <w:rsid w:val="00A51164"/>
    <w:rsid w:val="00A6532D"/>
    <w:rsid w:val="00A80116"/>
    <w:rsid w:val="00A80EC2"/>
    <w:rsid w:val="00A86954"/>
    <w:rsid w:val="00AB7B24"/>
    <w:rsid w:val="00AD5469"/>
    <w:rsid w:val="00AD76A1"/>
    <w:rsid w:val="00AF673B"/>
    <w:rsid w:val="00B5337C"/>
    <w:rsid w:val="00B71485"/>
    <w:rsid w:val="00B86B6A"/>
    <w:rsid w:val="00BA5708"/>
    <w:rsid w:val="00BB7B8E"/>
    <w:rsid w:val="00BC5E2B"/>
    <w:rsid w:val="00BE014C"/>
    <w:rsid w:val="00C0214C"/>
    <w:rsid w:val="00C3154A"/>
    <w:rsid w:val="00C55AEF"/>
    <w:rsid w:val="00C66E0B"/>
    <w:rsid w:val="00C720C2"/>
    <w:rsid w:val="00C77CD2"/>
    <w:rsid w:val="00C82D40"/>
    <w:rsid w:val="00C8602C"/>
    <w:rsid w:val="00CB170A"/>
    <w:rsid w:val="00CC001A"/>
    <w:rsid w:val="00CF503E"/>
    <w:rsid w:val="00D02682"/>
    <w:rsid w:val="00D13088"/>
    <w:rsid w:val="00D22E9C"/>
    <w:rsid w:val="00D26F57"/>
    <w:rsid w:val="00D43664"/>
    <w:rsid w:val="00D4791E"/>
    <w:rsid w:val="00D50919"/>
    <w:rsid w:val="00D82B72"/>
    <w:rsid w:val="00D9452F"/>
    <w:rsid w:val="00DD10D0"/>
    <w:rsid w:val="00E00818"/>
    <w:rsid w:val="00E24674"/>
    <w:rsid w:val="00E33B87"/>
    <w:rsid w:val="00E44CAE"/>
    <w:rsid w:val="00E47576"/>
    <w:rsid w:val="00E51D5F"/>
    <w:rsid w:val="00E66704"/>
    <w:rsid w:val="00E7551A"/>
    <w:rsid w:val="00E8728E"/>
    <w:rsid w:val="00E94E83"/>
    <w:rsid w:val="00E969F6"/>
    <w:rsid w:val="00EA7DD5"/>
    <w:rsid w:val="00EB0250"/>
    <w:rsid w:val="00ED183F"/>
    <w:rsid w:val="00ED638D"/>
    <w:rsid w:val="00EE150D"/>
    <w:rsid w:val="00F06F8D"/>
    <w:rsid w:val="00F44F64"/>
    <w:rsid w:val="00F46FA9"/>
    <w:rsid w:val="00F827F0"/>
    <w:rsid w:val="00FC5686"/>
    <w:rsid w:val="00FC7613"/>
    <w:rsid w:val="00FD2870"/>
    <w:rsid w:val="00FE27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5BEB21B0"/>
  <w15:docId w15:val="{9BEC3D68-5F3C-44A7-9530-5887DDA16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F6"/>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2431BD"/>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pPr>
      <w:numPr>
        <w:numId w:val="4"/>
      </w:numPr>
      <w:spacing w:before="120"/>
    </w:pPr>
  </w:style>
  <w:style w:type="paragraph" w:customStyle="1" w:styleId="Bodyt">
    <w:name w:val="Bodyt"/>
    <w:basedOn w:val="Normal"/>
    <w:rsid w:val="00A03E2A"/>
    <w:pPr>
      <w:numPr>
        <w:ilvl w:val="1"/>
        <w:numId w:val="4"/>
      </w:numPr>
    </w:pPr>
    <w:rPr>
      <w:rFonts w:eastAsiaTheme="minorHAnsi"/>
      <w:szCs w:val="22"/>
    </w:rPr>
  </w:style>
  <w:style w:type="paragraph" w:customStyle="1" w:styleId="Pealkiri1">
    <w:name w:val="Pealkiri1"/>
    <w:basedOn w:val="Normal"/>
    <w:next w:val="BodyText"/>
    <w:qFormat/>
    <w:rsid w:val="00EB0250"/>
    <w:pPr>
      <w:spacing w:before="960" w:after="600"/>
      <w:ind w:right="5103"/>
    </w:pPr>
  </w:style>
  <w:style w:type="paragraph" w:customStyle="1" w:styleId="Tallinn">
    <w:name w:val="Tallinn"/>
    <w:basedOn w:val="Normal"/>
    <w:next w:val="BodyText"/>
    <w:qFormat/>
    <w:rsid w:val="005548D8"/>
    <w:pPr>
      <w:spacing w:before="80" w:after="120"/>
    </w:pPr>
  </w:style>
  <w:style w:type="paragraph" w:customStyle="1" w:styleId="Tekst">
    <w:name w:val="Tekst"/>
    <w:basedOn w:val="Normal"/>
    <w:rsid w:val="00E7551A"/>
    <w:pPr>
      <w:spacing w:after="120"/>
    </w:pPr>
  </w:style>
  <w:style w:type="paragraph" w:customStyle="1" w:styleId="Allkirjastajanimi">
    <w:name w:val="Allkirjastaja nimi"/>
    <w:basedOn w:val="Normal"/>
    <w:next w:val="Normal"/>
    <w:qFormat/>
    <w:rsid w:val="00F44F64"/>
  </w:style>
  <w:style w:type="paragraph" w:customStyle="1" w:styleId="Allkirjastatuddigit">
    <w:name w:val="Allkirjastatud digit"/>
    <w:basedOn w:val="Normal"/>
    <w:qFormat/>
    <w:rsid w:val="00F44F64"/>
    <w:pPr>
      <w:spacing w:before="480" w:after="120"/>
    </w:pPr>
  </w:style>
  <w:style w:type="paragraph" w:customStyle="1" w:styleId="Bodyt1">
    <w:name w:val="Bodyt1"/>
    <w:basedOn w:val="Bodyt"/>
    <w:qFormat/>
    <w:rsid w:val="00A03E2A"/>
    <w:pPr>
      <w:numPr>
        <w:ilvl w:val="2"/>
      </w:numPr>
    </w:pPr>
  </w:style>
  <w:style w:type="character" w:customStyle="1" w:styleId="HeaderChar">
    <w:name w:val="Header Char"/>
    <w:basedOn w:val="DefaultParagraphFont"/>
    <w:link w:val="Header"/>
    <w:uiPriority w:val="99"/>
    <w:rsid w:val="00DD10D0"/>
    <w:rPr>
      <w:rFonts w:ascii="Calibri" w:hAnsi="Calibri"/>
      <w:sz w:val="22"/>
      <w:lang w:eastAsia="en-US"/>
    </w:rPr>
  </w:style>
  <w:style w:type="paragraph" w:customStyle="1" w:styleId="Pealkiri10">
    <w:name w:val="Pealkiri1"/>
    <w:basedOn w:val="Normal"/>
    <w:next w:val="BodyText"/>
    <w:qFormat/>
    <w:rsid w:val="006503AD"/>
    <w:pPr>
      <w:spacing w:before="960" w:after="600"/>
      <w:ind w:right="5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41FD6AF7FC424189B0BAF161424567" ma:contentTypeVersion="4" ma:contentTypeDescription="Create a new document." ma:contentTypeScope="" ma:versionID="890c181fe961f01c74ffed0c313c5593">
  <xsd:schema xmlns:xsd="http://www.w3.org/2001/XMLSchema" xmlns:xs="http://www.w3.org/2001/XMLSchema" xmlns:p="http://schemas.microsoft.com/office/2006/metadata/properties" xmlns:ns2="566746a8-eac2-41fe-b884-0b6d892bfce3" targetNamespace="http://schemas.microsoft.com/office/2006/metadata/properties" ma:root="true" ma:fieldsID="24793e4df6c72c157a7aebf8b2a17da1" ns2:_="">
    <xsd:import namespace="566746a8-eac2-41fe-b884-0b6d892bfce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746a8-eac2-41fe-b884-0b6d892bf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C8370-4072-4401-98A4-2B1B3A071763}">
  <ds:schemaRefs>
    <ds:schemaRef ds:uri="http://schemas.microsoft.com/sharepoint/v3/contenttype/forms"/>
  </ds:schemaRefs>
</ds:datastoreItem>
</file>

<file path=customXml/itemProps2.xml><?xml version="1.0" encoding="utf-8"?>
<ds:datastoreItem xmlns:ds="http://schemas.openxmlformats.org/officeDocument/2006/customXml" ds:itemID="{5CD8345F-2560-44A1-AF44-A67C34B8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746a8-eac2-41fe-b884-0b6d892bfc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72FA8-EE74-42C8-AA64-A1F1F9AE95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315</Words>
  <Characters>2759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Tõnu Pihelgas</dc:creator>
  <cp:keywords/>
  <dc:description/>
  <cp:lastModifiedBy>Kairi Schütz</cp:lastModifiedBy>
  <cp:revision>5</cp:revision>
  <cp:lastPrinted>2002-08-26T08:36:00Z</cp:lastPrinted>
  <dcterms:created xsi:type="dcterms:W3CDTF">2026-01-23T09:52:00Z</dcterms:created>
  <dcterms:modified xsi:type="dcterms:W3CDTF">2026-01-23T09:56:00Z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y fmtid="{D5CDD505-2E9C-101B-9397-08002B2CF9AE}" pid="11" name="ContentTypeId">
    <vt:lpwstr>0x0101008E41FD6AF7FC424189B0BAF161424567</vt:lpwstr>
  </property>
</Properties>
</file>