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05A3D" w14:textId="5CF69C83" w:rsidR="0031245F" w:rsidRPr="00E33CB3" w:rsidRDefault="0031245F">
      <w:pPr>
        <w:pStyle w:val="BodyText"/>
        <w:sectPr w:rsidR="0031245F" w:rsidRPr="00E33CB3" w:rsidSect="006E0D2A">
          <w:headerReference w:type="even" r:id="rId10"/>
          <w:headerReference w:type="default" r:id="rId11"/>
          <w:footerReference w:type="even" r:id="rId12"/>
          <w:type w:val="continuous"/>
          <w:pgSz w:w="11906" w:h="16838" w:code="9"/>
          <w:pgMar w:top="737" w:right="244" w:bottom="510" w:left="238" w:header="454" w:footer="510" w:gutter="0"/>
          <w:cols w:space="708"/>
          <w:titlePg/>
        </w:sectPr>
      </w:pPr>
    </w:p>
    <w:p w14:paraId="634F5E0F" w14:textId="77777777" w:rsidR="001D25A2" w:rsidRDefault="001D25A2" w:rsidP="001D25A2">
      <w:pPr>
        <w:spacing w:before="40"/>
        <w:jc w:val="right"/>
        <w:rPr>
          <w:rFonts w:cs="Calibri"/>
          <w:szCs w:val="22"/>
          <w:lang w:eastAsia="en-US"/>
        </w:rPr>
      </w:pPr>
      <w:r>
        <w:rPr>
          <w:rFonts w:cs="Calibri"/>
          <w:szCs w:val="22"/>
          <w:lang w:eastAsia="en-US"/>
        </w:rPr>
        <w:t>ALGTEKST-TERVIKTEKST</w:t>
      </w:r>
    </w:p>
    <w:p w14:paraId="5F1D84C1" w14:textId="29706086" w:rsidR="006E0D2A" w:rsidRPr="006E0D2A" w:rsidRDefault="006E0D2A" w:rsidP="001D25A2">
      <w:pPr>
        <w:spacing w:before="120"/>
        <w:rPr>
          <w:rFonts w:cs="Calibri"/>
          <w:szCs w:val="22"/>
          <w:lang w:eastAsia="en-US"/>
        </w:rPr>
      </w:pPr>
      <w:r w:rsidRPr="006E0D2A">
        <w:rPr>
          <w:rFonts w:cs="Calibri"/>
          <w:szCs w:val="22"/>
          <w:lang w:eastAsia="en-US"/>
        </w:rPr>
        <w:t xml:space="preserve">Kehtestatud Tallinna Tehnikaülikooli </w:t>
      </w:r>
      <w:r w:rsidR="008155D5">
        <w:rPr>
          <w:rFonts w:cs="Calibri"/>
          <w:szCs w:val="22"/>
          <w:lang w:eastAsia="en-US"/>
        </w:rPr>
        <w:t xml:space="preserve">senati </w:t>
      </w:r>
      <w:r w:rsidR="00067010">
        <w:rPr>
          <w:rFonts w:cs="Calibri"/>
          <w:szCs w:val="22"/>
          <w:lang w:eastAsia="en-US"/>
        </w:rPr>
        <w:t>20</w:t>
      </w:r>
      <w:r w:rsidRPr="006E0D2A">
        <w:rPr>
          <w:rFonts w:cs="Calibri"/>
          <w:szCs w:val="22"/>
          <w:lang w:eastAsia="en-US"/>
        </w:rPr>
        <w:t>.</w:t>
      </w:r>
      <w:r w:rsidR="00067010">
        <w:rPr>
          <w:rFonts w:cs="Calibri"/>
          <w:szCs w:val="22"/>
          <w:lang w:eastAsia="en-US"/>
        </w:rPr>
        <w:t>05</w:t>
      </w:r>
      <w:r w:rsidRPr="006E0D2A">
        <w:rPr>
          <w:rFonts w:cs="Calibri"/>
          <w:szCs w:val="22"/>
          <w:lang w:eastAsia="en-US"/>
        </w:rPr>
        <w:t>.20</w:t>
      </w:r>
      <w:r w:rsidR="00067010">
        <w:rPr>
          <w:rFonts w:cs="Calibri"/>
          <w:szCs w:val="22"/>
          <w:lang w:eastAsia="en-US"/>
        </w:rPr>
        <w:t>25</w:t>
      </w:r>
      <w:r w:rsidRPr="006E0D2A">
        <w:rPr>
          <w:rFonts w:cs="Calibri"/>
          <w:szCs w:val="22"/>
          <w:lang w:eastAsia="en-US"/>
        </w:rPr>
        <w:t xml:space="preserve"> määrusega nr </w:t>
      </w:r>
      <w:r>
        <w:rPr>
          <w:rFonts w:cs="Calibri"/>
          <w:szCs w:val="22"/>
          <w:lang w:eastAsia="en-US"/>
        </w:rPr>
        <w:t>6</w:t>
      </w:r>
      <w:r w:rsidRPr="006E0D2A">
        <w:rPr>
          <w:rFonts w:cs="Calibri"/>
          <w:szCs w:val="22"/>
          <w:lang w:eastAsia="en-US"/>
        </w:rPr>
        <w:t xml:space="preserve"> (jõustunud </w:t>
      </w:r>
      <w:r w:rsidR="00FE3C03">
        <w:rPr>
          <w:rFonts w:cs="Calibri"/>
          <w:szCs w:val="22"/>
          <w:lang w:eastAsia="en-US"/>
        </w:rPr>
        <w:t>01</w:t>
      </w:r>
      <w:r w:rsidRPr="006E0D2A">
        <w:rPr>
          <w:rFonts w:cs="Calibri"/>
          <w:szCs w:val="22"/>
          <w:lang w:eastAsia="en-US"/>
        </w:rPr>
        <w:t>.</w:t>
      </w:r>
      <w:r w:rsidR="00067010">
        <w:rPr>
          <w:rFonts w:cs="Calibri"/>
          <w:szCs w:val="22"/>
          <w:lang w:eastAsia="en-US"/>
        </w:rPr>
        <w:t>0</w:t>
      </w:r>
      <w:r w:rsidR="00FE3C03">
        <w:rPr>
          <w:rFonts w:cs="Calibri"/>
          <w:szCs w:val="22"/>
          <w:lang w:eastAsia="en-US"/>
        </w:rPr>
        <w:t>8</w:t>
      </w:r>
      <w:r w:rsidRPr="006E0D2A">
        <w:rPr>
          <w:rFonts w:cs="Calibri"/>
          <w:szCs w:val="22"/>
          <w:lang w:eastAsia="en-US"/>
        </w:rPr>
        <w:t>.20</w:t>
      </w:r>
      <w:r w:rsidR="00067010">
        <w:rPr>
          <w:rFonts w:cs="Calibri"/>
          <w:szCs w:val="22"/>
          <w:lang w:eastAsia="en-US"/>
        </w:rPr>
        <w:t>25</w:t>
      </w:r>
      <w:r w:rsidRPr="006E0D2A">
        <w:rPr>
          <w:rFonts w:cs="Calibri"/>
          <w:szCs w:val="22"/>
          <w:lang w:eastAsia="en-US"/>
        </w:rPr>
        <w:t>)</w:t>
      </w:r>
    </w:p>
    <w:p w14:paraId="3A57FEFD" w14:textId="77777777" w:rsidR="006E0D2A" w:rsidRPr="006E0D2A" w:rsidRDefault="006E0D2A" w:rsidP="006E0D2A">
      <w:pPr>
        <w:rPr>
          <w:szCs w:val="20"/>
          <w:lang w:eastAsia="en-US"/>
        </w:rPr>
      </w:pPr>
    </w:p>
    <w:p w14:paraId="5CDE05DA" w14:textId="21C61F9F" w:rsidR="006E0D2A" w:rsidRPr="006E0D2A" w:rsidRDefault="006E0D2A" w:rsidP="006E0D2A">
      <w:pPr>
        <w:rPr>
          <w:szCs w:val="20"/>
          <w:lang w:eastAsia="en-US"/>
        </w:rPr>
      </w:pPr>
      <w:r w:rsidRPr="006E0D2A">
        <w:rPr>
          <w:bCs/>
          <w:szCs w:val="20"/>
          <w:lang w:eastAsia="en-US"/>
        </w:rPr>
        <w:t xml:space="preserve">Redaktsiooni jõustumise kuupäev: </w:t>
      </w:r>
      <w:r w:rsidRPr="006E0D2A">
        <w:rPr>
          <w:szCs w:val="20"/>
          <w:lang w:eastAsia="en-US"/>
        </w:rPr>
        <w:t>01.0</w:t>
      </w:r>
      <w:r w:rsidR="00067010">
        <w:rPr>
          <w:szCs w:val="20"/>
          <w:lang w:eastAsia="en-US"/>
        </w:rPr>
        <w:t>8</w:t>
      </w:r>
      <w:r w:rsidRPr="006E0D2A">
        <w:rPr>
          <w:szCs w:val="20"/>
          <w:lang w:eastAsia="en-US"/>
        </w:rPr>
        <w:t>.202</w:t>
      </w:r>
      <w:r w:rsidR="00067010">
        <w:rPr>
          <w:szCs w:val="20"/>
          <w:lang w:eastAsia="en-US"/>
        </w:rPr>
        <w:t>5</w:t>
      </w:r>
    </w:p>
    <w:p w14:paraId="53DFA5C5" w14:textId="7F12E1EB" w:rsidR="001E30C3" w:rsidRPr="00E33CB3" w:rsidRDefault="0000118B" w:rsidP="00067010">
      <w:pPr>
        <w:pStyle w:val="Pealkiri"/>
        <w:spacing w:before="480"/>
      </w:pPr>
      <w:r w:rsidRPr="00E33CB3">
        <w:t>Täienduskoolituse eeskir</w:t>
      </w:r>
      <w:r w:rsidR="00FE792A">
        <w:t>i</w:t>
      </w:r>
    </w:p>
    <w:p w14:paraId="45E75B1F" w14:textId="5B21273E" w:rsidR="001E30C3" w:rsidRPr="00E33CB3" w:rsidRDefault="001E30C3" w:rsidP="003359E5">
      <w:r w:rsidRPr="00E33CB3">
        <w:t xml:space="preserve">Määrus kehtestatakse </w:t>
      </w:r>
      <w:r w:rsidR="00B06059" w:rsidRPr="00E33CB3">
        <w:t>täiskasvanute koolituse seaduse § 7 lõige 1, Tallinna Tehnikaülikooli seaduse § 5 lõige 3 punkti 1 ja Tallinna Tehnikaülikooli põhikirja § 2 lõige 2 punkti 3 alusel.</w:t>
      </w:r>
    </w:p>
    <w:p w14:paraId="31E10C1B" w14:textId="77777777" w:rsidR="008F3055" w:rsidRPr="00E33CB3" w:rsidRDefault="008F3055" w:rsidP="003359E5"/>
    <w:p w14:paraId="31062A13" w14:textId="77777777" w:rsidR="00A16B45" w:rsidRPr="00E33CB3" w:rsidRDefault="00A16B45" w:rsidP="00A16B45">
      <w:pPr>
        <w:pStyle w:val="Loetelum"/>
        <w:numPr>
          <w:ilvl w:val="0"/>
          <w:numId w:val="4"/>
        </w:numPr>
        <w:rPr>
          <w:rFonts w:cs="Calibri"/>
          <w:szCs w:val="22"/>
        </w:rPr>
      </w:pPr>
      <w:r w:rsidRPr="00E33CB3">
        <w:rPr>
          <w:rFonts w:cs="Calibri"/>
          <w:szCs w:val="22"/>
        </w:rPr>
        <w:t>Üldsätted</w:t>
      </w:r>
    </w:p>
    <w:p w14:paraId="5488E827" w14:textId="77777777" w:rsidR="00A16B45" w:rsidRPr="00E33CB3" w:rsidRDefault="00A16B45" w:rsidP="00A16B45">
      <w:pPr>
        <w:pStyle w:val="Bodym"/>
        <w:numPr>
          <w:ilvl w:val="1"/>
          <w:numId w:val="4"/>
        </w:numPr>
        <w:rPr>
          <w:rFonts w:cs="Calibri"/>
          <w:szCs w:val="22"/>
        </w:rPr>
      </w:pPr>
      <w:r w:rsidRPr="00E33CB3">
        <w:rPr>
          <w:rFonts w:cs="Calibri"/>
          <w:szCs w:val="22"/>
        </w:rPr>
        <w:t>Käesoleva eeskirjaga kehtestatakse Tallinna Tehnikaülikoolis (edaspidi ülikool) täienduskoolituse valdkonnad, täienduskoolituse õppe- ja finantskorralduse alused, kvaliteedi tagamise põhimõtted, täienduskoolituses varasemate õpingute ja töökogemuste arvestamise (edaspidi VÕTA) tingimused ja täienduskoolituse aruandluse korraldamine.</w:t>
      </w:r>
    </w:p>
    <w:p w14:paraId="233F046D" w14:textId="77777777" w:rsidR="00A16B45" w:rsidRPr="00E33CB3" w:rsidRDefault="00A16B45" w:rsidP="00A16B45">
      <w:pPr>
        <w:pStyle w:val="Bodym"/>
        <w:numPr>
          <w:ilvl w:val="1"/>
          <w:numId w:val="4"/>
        </w:numPr>
        <w:rPr>
          <w:rFonts w:cs="Calibri"/>
          <w:szCs w:val="22"/>
        </w:rPr>
      </w:pPr>
      <w:r w:rsidRPr="00E33CB3">
        <w:rPr>
          <w:rFonts w:cs="Calibri"/>
          <w:szCs w:val="22"/>
        </w:rPr>
        <w:t>Täienduskoolitust võib läbi viia kõikides ülikooli täienduskoolituse majandustegevusteates esitatud õppekavarühmades, mis on registreeritud Eesti hariduse infosüsteemis (EHIS).</w:t>
      </w:r>
    </w:p>
    <w:p w14:paraId="43997E6C" w14:textId="2CC6BE60" w:rsidR="00A16B45" w:rsidRPr="00161DD2" w:rsidRDefault="00376200" w:rsidP="00161DD2">
      <w:pPr>
        <w:pStyle w:val="Bodym"/>
        <w:rPr>
          <w:rFonts w:cs="Calibri"/>
          <w:szCs w:val="22"/>
        </w:rPr>
      </w:pPr>
      <w:r w:rsidRPr="00376200">
        <w:rPr>
          <w:rFonts w:cs="Calibri"/>
          <w:szCs w:val="22"/>
        </w:rPr>
        <w:t>Täienduskoolituse korraldamisel lähtutakse täiskasvanute koolituse seadusest, haridus- ja</w:t>
      </w:r>
      <w:r w:rsidR="00161DD2">
        <w:rPr>
          <w:rFonts w:cs="Calibri"/>
          <w:szCs w:val="22"/>
        </w:rPr>
        <w:t xml:space="preserve"> </w:t>
      </w:r>
      <w:r w:rsidRPr="00161DD2">
        <w:rPr>
          <w:rFonts w:cs="Calibri"/>
          <w:szCs w:val="22"/>
        </w:rPr>
        <w:t>teadusministri 14.04.2025 määrusega nr 18 vastu võetud „Täienduskoolituse standardist“ (edaspidi</w:t>
      </w:r>
      <w:r w:rsidR="00161DD2">
        <w:rPr>
          <w:rFonts w:cs="Calibri"/>
          <w:szCs w:val="22"/>
        </w:rPr>
        <w:t xml:space="preserve"> </w:t>
      </w:r>
      <w:r w:rsidRPr="00161DD2">
        <w:rPr>
          <w:rFonts w:cs="Calibri"/>
          <w:szCs w:val="22"/>
        </w:rPr>
        <w:t>täienduskoolituse standard), Tallinna Tehnikaülikooli arengukavast 2021-2025, ülikooli senati</w:t>
      </w:r>
      <w:r w:rsidR="00161DD2">
        <w:rPr>
          <w:rFonts w:cs="Calibri"/>
          <w:szCs w:val="22"/>
        </w:rPr>
        <w:t xml:space="preserve"> </w:t>
      </w:r>
      <w:r w:rsidRPr="00161DD2">
        <w:rPr>
          <w:rFonts w:cs="Calibri"/>
          <w:szCs w:val="22"/>
        </w:rPr>
        <w:t>17.05.2022 määrusega nr 4 kehtestatud „Õppekorralduse eeskirjast“ (edaspidi õppekorralduse eeskiri)</w:t>
      </w:r>
      <w:r w:rsidR="00161DD2">
        <w:rPr>
          <w:rFonts w:cs="Calibri"/>
          <w:szCs w:val="22"/>
        </w:rPr>
        <w:t xml:space="preserve"> </w:t>
      </w:r>
      <w:r w:rsidRPr="00161DD2">
        <w:rPr>
          <w:rFonts w:cs="Calibri"/>
          <w:szCs w:val="22"/>
        </w:rPr>
        <w:t>ja teistest täienduskoolitust reguleerivatest õigusaktidest</w:t>
      </w:r>
      <w:r w:rsidR="00161DD2" w:rsidRPr="00161DD2">
        <w:rPr>
          <w:rFonts w:cs="Calibri"/>
          <w:szCs w:val="22"/>
        </w:rPr>
        <w:t>.</w:t>
      </w:r>
    </w:p>
    <w:p w14:paraId="7293D13E" w14:textId="77777777" w:rsidR="00A16B45" w:rsidRPr="00E33CB3" w:rsidRDefault="00A16B45" w:rsidP="00A16B45">
      <w:pPr>
        <w:pStyle w:val="Bodym"/>
        <w:numPr>
          <w:ilvl w:val="1"/>
          <w:numId w:val="4"/>
        </w:numPr>
        <w:rPr>
          <w:rFonts w:cs="Calibri"/>
          <w:szCs w:val="22"/>
        </w:rPr>
      </w:pPr>
      <w:r w:rsidRPr="00E33CB3">
        <w:rPr>
          <w:rFonts w:cs="Calibri"/>
          <w:szCs w:val="22"/>
        </w:rPr>
        <w:t xml:space="preserve">Täienduskoolitus on õpiväljundipõhise õppekava alusel toimuv eesmärgistatud ja organiseeritud mitteformaalõpe, mille eesmärk on saavutada õpiväljundid. Ülikoolis määratletakse täienduskoolitus järgmiselt: </w:t>
      </w:r>
    </w:p>
    <w:p w14:paraId="2BCF39D3" w14:textId="77777777" w:rsidR="00A16B45" w:rsidRPr="00E33CB3" w:rsidRDefault="00A16B45" w:rsidP="00A16B45">
      <w:pPr>
        <w:pStyle w:val="Bodym1"/>
        <w:numPr>
          <w:ilvl w:val="2"/>
          <w:numId w:val="4"/>
        </w:numPr>
        <w:rPr>
          <w:rFonts w:cs="Calibri"/>
          <w:szCs w:val="22"/>
        </w:rPr>
      </w:pPr>
      <w:r w:rsidRPr="00E33CB3">
        <w:rPr>
          <w:rFonts w:cs="Calibri"/>
          <w:szCs w:val="22"/>
        </w:rPr>
        <w:t>mitteformaalõppe õppekavade alusel toimuv õpe (edaspidi täienduskoolitus);</w:t>
      </w:r>
    </w:p>
    <w:p w14:paraId="47EA28B2" w14:textId="77777777" w:rsidR="00A16B45" w:rsidRPr="00E33CB3" w:rsidRDefault="00A16B45" w:rsidP="00A16B45">
      <w:pPr>
        <w:pStyle w:val="Bodym1"/>
        <w:numPr>
          <w:ilvl w:val="2"/>
          <w:numId w:val="4"/>
        </w:numPr>
        <w:rPr>
          <w:rFonts w:cs="Calibri"/>
          <w:szCs w:val="22"/>
        </w:rPr>
      </w:pPr>
      <w:r w:rsidRPr="00E33CB3">
        <w:rPr>
          <w:rFonts w:cs="Calibri"/>
          <w:szCs w:val="22"/>
        </w:rPr>
        <w:t xml:space="preserve">mikrokraadi õppekavade alusel toimuv õpe (edaspidi mikrokraadiõpe);  </w:t>
      </w:r>
    </w:p>
    <w:p w14:paraId="7D2814B8" w14:textId="77777777" w:rsidR="00A16B45" w:rsidRPr="00E33CB3" w:rsidRDefault="00A16B45" w:rsidP="00A16B45">
      <w:pPr>
        <w:pStyle w:val="Bodym1"/>
        <w:numPr>
          <w:ilvl w:val="2"/>
          <w:numId w:val="4"/>
        </w:numPr>
        <w:rPr>
          <w:rFonts w:cs="Calibri"/>
          <w:szCs w:val="22"/>
        </w:rPr>
      </w:pPr>
      <w:r w:rsidRPr="00E33CB3">
        <w:rPr>
          <w:rFonts w:cs="Calibri"/>
          <w:szCs w:val="22"/>
        </w:rPr>
        <w:t>mikrokvalifikatsiooni õppekavade alusel toimuv õpe (edaspidi mikrokvalifikatsiooniõpe);</w:t>
      </w:r>
    </w:p>
    <w:p w14:paraId="05AFD1CE" w14:textId="77777777" w:rsidR="00A16B45" w:rsidRPr="00E33CB3" w:rsidRDefault="00A16B45" w:rsidP="00A16B45">
      <w:pPr>
        <w:pStyle w:val="Bodym1"/>
        <w:numPr>
          <w:ilvl w:val="2"/>
          <w:numId w:val="4"/>
        </w:numPr>
        <w:rPr>
          <w:rFonts w:cs="Calibri"/>
          <w:szCs w:val="22"/>
        </w:rPr>
      </w:pPr>
      <w:r w:rsidRPr="00E33CB3">
        <w:rPr>
          <w:rFonts w:cs="Calibri"/>
          <w:szCs w:val="22"/>
        </w:rPr>
        <w:t>formaalõppe õppekavade õppeainete alusel toimuv õpe (edaspidi avatud õpe);</w:t>
      </w:r>
    </w:p>
    <w:p w14:paraId="45108229" w14:textId="77777777" w:rsidR="00A16B45" w:rsidRPr="00E33CB3" w:rsidRDefault="00A16B45" w:rsidP="00A16B45">
      <w:pPr>
        <w:pStyle w:val="Bodym"/>
        <w:numPr>
          <w:ilvl w:val="1"/>
          <w:numId w:val="4"/>
        </w:numPr>
        <w:rPr>
          <w:rFonts w:cs="Calibri"/>
          <w:szCs w:val="22"/>
        </w:rPr>
      </w:pPr>
      <w:r w:rsidRPr="00E33CB3">
        <w:rPr>
          <w:rFonts w:cs="Calibri"/>
          <w:szCs w:val="22"/>
        </w:rPr>
        <w:t>Täiendusõppija on isik, kes õpib täienduskoolitusel, mikrokraadiõppes, mikrokvalifikatsiooniõppes või avatud õppes.</w:t>
      </w:r>
    </w:p>
    <w:p w14:paraId="255E2CD2" w14:textId="77777777" w:rsidR="00A16B45" w:rsidRPr="00E33CB3" w:rsidRDefault="00A16B45" w:rsidP="00A16B45">
      <w:pPr>
        <w:pStyle w:val="Bodym"/>
        <w:numPr>
          <w:ilvl w:val="1"/>
          <w:numId w:val="4"/>
        </w:numPr>
        <w:rPr>
          <w:rFonts w:cs="Calibri"/>
          <w:szCs w:val="22"/>
        </w:rPr>
      </w:pPr>
      <w:r w:rsidRPr="00E33CB3">
        <w:rPr>
          <w:rFonts w:cs="Calibri"/>
          <w:szCs w:val="22"/>
        </w:rPr>
        <w:t xml:space="preserve">Täiendusõppijal on õigus saada teavet ülikooli pakutavate täienduskoolituste, nende sisu ja korralduse kohta, osaleda täienduskoolitustel, saada ettenähtud õppematerjalid ja juurdepääs koolitusega seotud e-õppekeskkonnale, saada täienduskoolituse läbimisel seda tõendav tõend või tunnistus, taotleda varasemate õpingute ja töökogemuse arvestamist lähtuvalt käesoleva eeskirja § 8-st.  </w:t>
      </w:r>
    </w:p>
    <w:p w14:paraId="28EA4A89" w14:textId="77777777" w:rsidR="00A16B45" w:rsidRPr="00E33CB3" w:rsidRDefault="00A16B45" w:rsidP="00A16B45">
      <w:pPr>
        <w:pStyle w:val="Bodym"/>
        <w:numPr>
          <w:ilvl w:val="1"/>
          <w:numId w:val="4"/>
        </w:numPr>
        <w:rPr>
          <w:rFonts w:cs="Calibri"/>
          <w:szCs w:val="22"/>
        </w:rPr>
      </w:pPr>
      <w:r w:rsidRPr="00E33CB3">
        <w:rPr>
          <w:rFonts w:asciiTheme="minorHAnsi" w:hAnsiTheme="minorHAnsi" w:cstheme="minorHAnsi"/>
        </w:rPr>
        <w:t>Täiendusõppija staatus ja õppekorraldus kehtestatakse käesoleva eeskirjaga. Muid ülikooli õigusakte kohaldatakse täiendusõppijatele niivõrd, kuivõrd käesolevast eeskirjast või täiendusõppija ja ülikooli vahel sõlmitud õppeteenuse lepingust ei tulene teisiti</w:t>
      </w:r>
      <w:r w:rsidRPr="00E33CB3">
        <w:rPr>
          <w:rFonts w:ascii="Times New Roman" w:hAnsi="Times New Roman"/>
        </w:rPr>
        <w:t xml:space="preserve">. </w:t>
      </w:r>
    </w:p>
    <w:p w14:paraId="3F3A1FDE" w14:textId="77777777" w:rsidR="00A16B45" w:rsidRPr="00E33CB3" w:rsidRDefault="00A16B45" w:rsidP="00A16B45">
      <w:pPr>
        <w:pStyle w:val="Bodym"/>
        <w:numPr>
          <w:ilvl w:val="1"/>
          <w:numId w:val="4"/>
        </w:numPr>
        <w:rPr>
          <w:rFonts w:cs="Calibri"/>
          <w:szCs w:val="22"/>
        </w:rPr>
      </w:pPr>
      <w:r w:rsidRPr="00E33CB3">
        <w:rPr>
          <w:rFonts w:cs="Calibri"/>
          <w:color w:val="000000"/>
          <w:szCs w:val="22"/>
        </w:rPr>
        <w:t>T</w:t>
      </w:r>
      <w:r w:rsidRPr="00E33CB3">
        <w:t xml:space="preserve">äiendusõppijal on kohustus järgida eelkõige käesolevast eeskirjast, muudest asjakohastest õigusaktidest tulenevaid nõudeid, üldtunnustatud käitumisnorme ja häid tavasid ning täita õppeteenuse lepingust tulenevaid muid kohutusi. </w:t>
      </w:r>
      <w:r w:rsidRPr="00E33CB3">
        <w:rPr>
          <w:shd w:val="clear" w:color="auto" w:fill="FFFFFF"/>
        </w:rPr>
        <w:t>Hea tava on käitumisviis, mis on kooskõlas ülikooli akadeemilise eetika põhimõtete, ülikooli väärtuste, õppekorralduse ja õigusaktides sätestatud normidega.</w:t>
      </w:r>
    </w:p>
    <w:p w14:paraId="33E56709" w14:textId="77777777" w:rsidR="00A16B45" w:rsidRPr="00E33CB3" w:rsidRDefault="00A16B45" w:rsidP="00A16B45">
      <w:pPr>
        <w:pStyle w:val="Loetelum"/>
        <w:numPr>
          <w:ilvl w:val="0"/>
          <w:numId w:val="4"/>
        </w:numPr>
        <w:rPr>
          <w:rFonts w:cs="Calibri"/>
          <w:szCs w:val="22"/>
        </w:rPr>
      </w:pPr>
      <w:r w:rsidRPr="00E33CB3">
        <w:rPr>
          <w:rFonts w:cs="Calibri"/>
          <w:szCs w:val="22"/>
        </w:rPr>
        <w:t>Täienduskoolituse planeerimine ja läbiviimine</w:t>
      </w:r>
    </w:p>
    <w:p w14:paraId="02AE8084" w14:textId="30AE5F18" w:rsidR="00A16B45" w:rsidRPr="00E33CB3" w:rsidRDefault="00A16B45" w:rsidP="00A16B45">
      <w:pPr>
        <w:pStyle w:val="Bodym"/>
        <w:numPr>
          <w:ilvl w:val="1"/>
          <w:numId w:val="4"/>
        </w:numPr>
        <w:rPr>
          <w:rFonts w:cs="Calibri"/>
          <w:szCs w:val="22"/>
        </w:rPr>
      </w:pPr>
      <w:r w:rsidRPr="00E33CB3">
        <w:rPr>
          <w:rFonts w:cs="Calibri"/>
          <w:szCs w:val="22"/>
        </w:rPr>
        <w:t xml:space="preserve">Täienduskoolituse valdkonda juhib rektori poolt määratud prorektor vastavalt vastutusala juhtide nimetamise ning nende tegevusvaldkondade ja neile alluvate struktuuriüksuste määramise käskkirjale (rektori 20.12.2022 käskkiri nr 64). </w:t>
      </w:r>
    </w:p>
    <w:p w14:paraId="7B84FCED" w14:textId="77777777" w:rsidR="00A16B45" w:rsidRPr="00E33CB3" w:rsidRDefault="00A16B45" w:rsidP="00A16B45">
      <w:pPr>
        <w:pStyle w:val="Bodym"/>
        <w:numPr>
          <w:ilvl w:val="1"/>
          <w:numId w:val="4"/>
        </w:numPr>
        <w:rPr>
          <w:rFonts w:cs="Calibri"/>
          <w:szCs w:val="22"/>
        </w:rPr>
      </w:pPr>
      <w:r w:rsidRPr="00E33CB3">
        <w:rPr>
          <w:rFonts w:cs="Calibri"/>
          <w:szCs w:val="22"/>
        </w:rPr>
        <w:t>Täienduskoolituse tegevusi ülikoolis koordineerib avatud ülikool.</w:t>
      </w:r>
    </w:p>
    <w:p w14:paraId="37E7FA0D" w14:textId="77777777" w:rsidR="00A16B45" w:rsidRPr="00E33CB3" w:rsidRDefault="00A16B45" w:rsidP="00A16B45">
      <w:pPr>
        <w:pStyle w:val="Bodym"/>
        <w:numPr>
          <w:ilvl w:val="1"/>
          <w:numId w:val="4"/>
        </w:numPr>
        <w:rPr>
          <w:rFonts w:cs="Calibri"/>
          <w:szCs w:val="22"/>
        </w:rPr>
      </w:pPr>
      <w:r w:rsidRPr="00E33CB3">
        <w:rPr>
          <w:rFonts w:cs="Calibri"/>
          <w:szCs w:val="22"/>
        </w:rPr>
        <w:t>Avatud ülikool tagab täienduskoolituse tugiteenused vastavalt innovatsiooni ja ettevõtlussuhete prorektori 19.05.2016 korraldusega nr 76 kehtestatud avatud ülikooli struktuurile ja ülesannete kirjeldusele.</w:t>
      </w:r>
    </w:p>
    <w:p w14:paraId="59708922" w14:textId="77777777" w:rsidR="00A16B45" w:rsidRPr="00E33CB3" w:rsidRDefault="00A16B45" w:rsidP="00A16B45">
      <w:pPr>
        <w:pStyle w:val="Bodym"/>
        <w:numPr>
          <w:ilvl w:val="1"/>
          <w:numId w:val="4"/>
        </w:numPr>
        <w:rPr>
          <w:rFonts w:cs="Calibri"/>
          <w:szCs w:val="22"/>
        </w:rPr>
      </w:pPr>
      <w:r w:rsidRPr="00E33CB3">
        <w:rPr>
          <w:rFonts w:cs="Calibri"/>
          <w:szCs w:val="22"/>
        </w:rPr>
        <w:lastRenderedPageBreak/>
        <w:t>Täienduskoolitust korraldatakse ülikooli õppekorralduse üldistest nõuetest lähtuvalt vastavate täiendusõppe, mikrokraadi- või mikrokvalifikatsiooniõppe õppekavade alusel või formaalõppe õppekavade õppeainete läbimisel.</w:t>
      </w:r>
    </w:p>
    <w:p w14:paraId="4D49B0F9" w14:textId="77777777" w:rsidR="00A16B45" w:rsidRPr="00E33CB3" w:rsidRDefault="00A16B45" w:rsidP="00A16B45">
      <w:pPr>
        <w:pStyle w:val="Bodym"/>
        <w:numPr>
          <w:ilvl w:val="1"/>
          <w:numId w:val="4"/>
        </w:numPr>
        <w:rPr>
          <w:rFonts w:cs="Calibri"/>
          <w:szCs w:val="22"/>
        </w:rPr>
      </w:pPr>
      <w:r w:rsidRPr="00E33CB3">
        <w:rPr>
          <w:rFonts w:cs="Calibri"/>
          <w:szCs w:val="22"/>
        </w:rPr>
        <w:t>Täienduskoolituse teenust osutavad teaduskonnad, instituudid, avatud ülikool jt haldus- ja tugistruktuuriüksused üksuse kirjeldustes toodud ülesannete kohaselt.</w:t>
      </w:r>
    </w:p>
    <w:p w14:paraId="1F170F36" w14:textId="77777777" w:rsidR="00A16B45" w:rsidRPr="00E33CB3" w:rsidRDefault="00A16B45" w:rsidP="00A16B45">
      <w:pPr>
        <w:pStyle w:val="Bodym"/>
        <w:numPr>
          <w:ilvl w:val="1"/>
          <w:numId w:val="4"/>
        </w:numPr>
        <w:rPr>
          <w:rFonts w:cs="Calibri"/>
          <w:szCs w:val="22"/>
        </w:rPr>
      </w:pPr>
      <w:r w:rsidRPr="00E33CB3">
        <w:rPr>
          <w:rFonts w:cs="Calibri"/>
          <w:szCs w:val="22"/>
        </w:rPr>
        <w:t>Täienduskoolituse õppekava sisu kvaliteedi, õppekava andmete täienduskoolituse infosüsteemi (edaspidi TÕIS) sisestamise eest vastutab täienduskoolitust korraldava instituudi või üksuse juht või tema poolt määratud isik.</w:t>
      </w:r>
    </w:p>
    <w:p w14:paraId="52AF3A6C" w14:textId="77777777" w:rsidR="00A16B45" w:rsidRPr="00E33CB3" w:rsidRDefault="00A16B45" w:rsidP="00A16B45">
      <w:pPr>
        <w:pStyle w:val="Bodym"/>
        <w:numPr>
          <w:ilvl w:val="1"/>
          <w:numId w:val="4"/>
        </w:numPr>
        <w:rPr>
          <w:rFonts w:cs="Calibri"/>
          <w:szCs w:val="22"/>
        </w:rPr>
      </w:pPr>
      <w:r w:rsidRPr="00E33CB3">
        <w:rPr>
          <w:rFonts w:cs="Calibri"/>
          <w:szCs w:val="22"/>
        </w:rPr>
        <w:t xml:space="preserve">Täienduskoolitusteenuse osutamine mikrokraadi õppekavadel ja avatud õppes toimub täiendusõppija ja ülikooli vahel sõlmitud tsiviilõigusliku täienduskoolituse teenuse lepingu alusel. Nimetatud lepingu eritingimuste tüüpvormi ja üldtingimused on kinnitatud rektori 26.06.2019 käskkirjaga nr 29 ning see sõlmitakse õppeinfosüsteemis kirjalikku taasesitamist võimaldavas vormis. Täiendusõppija poolt õppeinfosüsteemi (edaspidi ÕIS) kasutamine on piiratud kuni ülikooliga lepingu sõlmimiseni. </w:t>
      </w:r>
    </w:p>
    <w:p w14:paraId="276116BB" w14:textId="77777777" w:rsidR="00A16B45" w:rsidRPr="00E33CB3" w:rsidRDefault="00A16B45" w:rsidP="00A16B45">
      <w:pPr>
        <w:pStyle w:val="Bodym"/>
        <w:numPr>
          <w:ilvl w:val="1"/>
          <w:numId w:val="4"/>
        </w:numPr>
        <w:rPr>
          <w:rFonts w:cs="Calibri"/>
          <w:szCs w:val="22"/>
        </w:rPr>
      </w:pPr>
      <w:r w:rsidRPr="00E33CB3">
        <w:rPr>
          <w:rFonts w:cs="Calibri"/>
          <w:szCs w:val="22"/>
        </w:rPr>
        <w:t>Mikrokraadikavadele ja avatud õppesse õppima asuvate täiendusõppijate esmast nõustamist, lepingute sõlmimist ja arvete väljastamist korraldab avatud ülikool. Mikrokraadikavadel ja avatud õppes õppijate erialast nõustamist ja õppealaste küsimuste lahendamist korraldavad teaduskonnad ja instituudid.</w:t>
      </w:r>
    </w:p>
    <w:p w14:paraId="52B1C113" w14:textId="77777777" w:rsidR="00A16B45" w:rsidRPr="00E33CB3" w:rsidRDefault="00A16B45" w:rsidP="00A16B45">
      <w:pPr>
        <w:pStyle w:val="Loetelum"/>
        <w:numPr>
          <w:ilvl w:val="0"/>
          <w:numId w:val="4"/>
        </w:numPr>
        <w:rPr>
          <w:rFonts w:cs="Calibri"/>
          <w:szCs w:val="22"/>
        </w:rPr>
      </w:pPr>
      <w:r w:rsidRPr="00E33CB3">
        <w:rPr>
          <w:rFonts w:cs="Calibri"/>
          <w:szCs w:val="22"/>
        </w:rPr>
        <w:t>Täienduskoolitusele registreerumine ja andmete haldamine</w:t>
      </w:r>
    </w:p>
    <w:p w14:paraId="0848D823" w14:textId="77777777" w:rsidR="00A16B45" w:rsidRPr="00E33CB3" w:rsidRDefault="00A16B45" w:rsidP="00A16B45">
      <w:pPr>
        <w:pStyle w:val="Bodym"/>
        <w:numPr>
          <w:ilvl w:val="1"/>
          <w:numId w:val="4"/>
        </w:numPr>
        <w:rPr>
          <w:rFonts w:cs="Calibri"/>
          <w:szCs w:val="22"/>
        </w:rPr>
      </w:pPr>
      <w:r w:rsidRPr="00E33CB3">
        <w:rPr>
          <w:rFonts w:cs="Calibri"/>
          <w:szCs w:val="22"/>
        </w:rPr>
        <w:t xml:space="preserve">Täienduskoolituse, mikrokraadi-  ja mikrokvalifikatsiooni õppekavadel ning avatud õppes õppida soovijad kinnitavad ülikooli õppetegevust reguleerivate õigusaktidega tutvumist, headest tavadest ja üldtunnustatud käitumisnormidest kinni pidamist. </w:t>
      </w:r>
    </w:p>
    <w:p w14:paraId="6D986F35" w14:textId="77777777" w:rsidR="00A16B45" w:rsidRPr="00E33CB3" w:rsidRDefault="00A16B45" w:rsidP="00A16B45">
      <w:pPr>
        <w:pStyle w:val="Bodym"/>
        <w:numPr>
          <w:ilvl w:val="1"/>
          <w:numId w:val="4"/>
        </w:numPr>
        <w:rPr>
          <w:rFonts w:cs="Calibri"/>
          <w:szCs w:val="22"/>
        </w:rPr>
      </w:pPr>
      <w:r w:rsidRPr="00E33CB3">
        <w:rPr>
          <w:rFonts w:cs="Calibri"/>
          <w:szCs w:val="22"/>
        </w:rPr>
        <w:t xml:space="preserve">Täienduskoolituse ja mikrokvalifikatsiooni õppekavadel õppijad kinnitavad oma osalemise koolitusel läbi </w:t>
      </w:r>
      <w:proofErr w:type="spellStart"/>
      <w:r w:rsidRPr="00E33CB3">
        <w:rPr>
          <w:rFonts w:cs="Calibri"/>
          <w:szCs w:val="22"/>
        </w:rPr>
        <w:t>TÕIS-is</w:t>
      </w:r>
      <w:proofErr w:type="spellEnd"/>
      <w:r w:rsidRPr="00E33CB3">
        <w:rPr>
          <w:rFonts w:cs="Calibri"/>
          <w:szCs w:val="22"/>
        </w:rPr>
        <w:t xml:space="preserve"> registreerumise, mille kohta väljastatakse neile automaatne kinnitusteade. Täiendusõppija loetakse koolitusel osalejaks, kui ta pole enne esimest koolituspäeva teavitanud osalemisest loobumisest. </w:t>
      </w:r>
    </w:p>
    <w:p w14:paraId="0BEF42D0" w14:textId="77777777" w:rsidR="00A16B45" w:rsidRPr="00E33CB3" w:rsidRDefault="00A16B45" w:rsidP="00A16B45">
      <w:pPr>
        <w:pStyle w:val="Bodym"/>
        <w:numPr>
          <w:ilvl w:val="1"/>
          <w:numId w:val="4"/>
        </w:numPr>
        <w:rPr>
          <w:rFonts w:cs="Calibri"/>
          <w:szCs w:val="22"/>
        </w:rPr>
      </w:pPr>
      <w:r w:rsidRPr="00E33CB3">
        <w:rPr>
          <w:rFonts w:cs="Calibri"/>
          <w:szCs w:val="22"/>
        </w:rPr>
        <w:t xml:space="preserve">Mikrokraadiõppes ja avatud õppes toimub õppeainetele registreerumine </w:t>
      </w:r>
      <w:proofErr w:type="spellStart"/>
      <w:r w:rsidRPr="00E33CB3">
        <w:rPr>
          <w:rFonts w:cs="Calibri"/>
          <w:szCs w:val="22"/>
        </w:rPr>
        <w:t>ÕIS-is</w:t>
      </w:r>
      <w:proofErr w:type="spellEnd"/>
      <w:r w:rsidRPr="00E33CB3">
        <w:rPr>
          <w:rFonts w:cs="Calibri"/>
          <w:szCs w:val="22"/>
        </w:rPr>
        <w:t xml:space="preserve"> õppekorralduse eeskirjas sätestatud tingimustel ja korras kuni akadeemilises kalendris märgitud tähtajani. Õppijate andmeid kogutakse ja säilitatakse ning õppeinfo vahetus toimub </w:t>
      </w:r>
      <w:proofErr w:type="spellStart"/>
      <w:r w:rsidRPr="00E33CB3">
        <w:rPr>
          <w:rFonts w:cs="Calibri"/>
          <w:szCs w:val="22"/>
        </w:rPr>
        <w:t>ÕIS-is</w:t>
      </w:r>
      <w:proofErr w:type="spellEnd"/>
      <w:r w:rsidRPr="00E33CB3">
        <w:rPr>
          <w:rFonts w:cs="Calibri"/>
          <w:szCs w:val="22"/>
        </w:rPr>
        <w:t xml:space="preserve">. Ametlik infovahetus (teated, õppeinfo jms) edastatakse täiendusõppija </w:t>
      </w:r>
      <w:proofErr w:type="spellStart"/>
      <w:r w:rsidRPr="00E33CB3">
        <w:rPr>
          <w:rFonts w:cs="Calibri"/>
          <w:szCs w:val="22"/>
        </w:rPr>
        <w:t>ÕIS-i</w:t>
      </w:r>
      <w:proofErr w:type="spellEnd"/>
      <w:r w:rsidRPr="00E33CB3">
        <w:rPr>
          <w:rFonts w:cs="Calibri"/>
          <w:szCs w:val="22"/>
        </w:rPr>
        <w:t xml:space="preserve"> kontole ning loetakse, et saadetu on täiendusõppijale kätte toimetatud ning tal on olnud mõistlik võimalus sellega tutvuda, kui infovahetusest on möödunud kolm tööpäeva. </w:t>
      </w:r>
    </w:p>
    <w:p w14:paraId="74E2D118" w14:textId="77777777" w:rsidR="00A16B45" w:rsidRPr="00E33CB3" w:rsidRDefault="00A16B45" w:rsidP="00A16B45">
      <w:pPr>
        <w:pStyle w:val="Bodym"/>
        <w:numPr>
          <w:ilvl w:val="1"/>
          <w:numId w:val="4"/>
        </w:numPr>
      </w:pPr>
      <w:r w:rsidRPr="00E33CB3">
        <w:t>Ülikool võib keelduda isiku arvamisest täiendusõppijaks, kui isik ei vasta täienduskoolituse või formaalõppe õppeaine ainekavas kehtestatud tingimustele, õppetöös osalejate piirarv on täis või kui isikul on ülikooli ees rahalisi võlgnevusi.</w:t>
      </w:r>
    </w:p>
    <w:p w14:paraId="3C7C7404" w14:textId="77777777" w:rsidR="00A16B45" w:rsidRPr="00E33CB3" w:rsidRDefault="00A16B45" w:rsidP="00A16B45">
      <w:pPr>
        <w:pStyle w:val="Bodym"/>
        <w:numPr>
          <w:ilvl w:val="1"/>
          <w:numId w:val="4"/>
        </w:numPr>
      </w:pPr>
      <w:r w:rsidRPr="00E33CB3">
        <w:t xml:space="preserve">Kui täiendusõppija rikub head tava või üldtunnustatud käitumisnorme, võib seda sõltuvalt rikkumise raskusest lugeda avatud ülikooli juhataja hinnangul mõjuvaks põhjuseks, et täiendusõppijaga sõlmitud leping erakorraliselt ilma etteteatamistähtaega kohaldamata üles öelda. </w:t>
      </w:r>
    </w:p>
    <w:p w14:paraId="0D7B7F52" w14:textId="77777777" w:rsidR="00A16B45" w:rsidRPr="00E33CB3" w:rsidRDefault="00A16B45" w:rsidP="00A16B45">
      <w:pPr>
        <w:pStyle w:val="Bodym"/>
        <w:numPr>
          <w:ilvl w:val="1"/>
          <w:numId w:val="4"/>
        </w:numPr>
      </w:pPr>
      <w:r w:rsidRPr="00E33CB3">
        <w:t>Lepingu erakorralisel ülesütlemisel jäetakse täiendusõppijale tagastamata enne lepingu erakorralist ülesütlemist ülikoolile tasutud summa ja täiendusõppur on kohustatud lepingu erakorralise ülesütlemisega tekitatud kahju, sh saamata jäänud tulu ülikoolile hüvitama.</w:t>
      </w:r>
    </w:p>
    <w:p w14:paraId="55D0134D" w14:textId="77777777" w:rsidR="00A16B45" w:rsidRPr="00E33CB3" w:rsidRDefault="00A16B45" w:rsidP="00A16B45">
      <w:pPr>
        <w:pStyle w:val="Bodym"/>
        <w:numPr>
          <w:ilvl w:val="1"/>
          <w:numId w:val="4"/>
        </w:numPr>
        <w:rPr>
          <w:rFonts w:cs="Calibri"/>
          <w:szCs w:val="22"/>
        </w:rPr>
      </w:pPr>
      <w:r w:rsidRPr="00E33CB3">
        <w:rPr>
          <w:rFonts w:cs="Calibri"/>
          <w:szCs w:val="22"/>
        </w:rPr>
        <w:t xml:space="preserve">Täiendusõppijate andmeid kogutakse ja säilitatakse </w:t>
      </w:r>
      <w:proofErr w:type="spellStart"/>
      <w:r w:rsidRPr="00E33CB3">
        <w:rPr>
          <w:rFonts w:cs="Calibri"/>
          <w:szCs w:val="22"/>
        </w:rPr>
        <w:t>TÕIS-is</w:t>
      </w:r>
      <w:proofErr w:type="spellEnd"/>
      <w:r w:rsidRPr="00E33CB3">
        <w:rPr>
          <w:rFonts w:cs="Calibri"/>
          <w:szCs w:val="22"/>
        </w:rPr>
        <w:t xml:space="preserve">, mikrokraadikavadel ja avatud õppes õppijate andmeid </w:t>
      </w:r>
      <w:proofErr w:type="spellStart"/>
      <w:r w:rsidRPr="00E33CB3">
        <w:rPr>
          <w:rFonts w:cs="Calibri"/>
          <w:szCs w:val="22"/>
        </w:rPr>
        <w:t>ÕIS-is</w:t>
      </w:r>
      <w:proofErr w:type="spellEnd"/>
      <w:r w:rsidRPr="00E33CB3">
        <w:rPr>
          <w:rFonts w:cs="Calibri"/>
          <w:szCs w:val="22"/>
        </w:rPr>
        <w:t>, järgides ülikooli õppekorralduse üldisi nõudeid ja isikuandmete kaitset reguleerivaid õigusakte.</w:t>
      </w:r>
    </w:p>
    <w:p w14:paraId="2A8158C0" w14:textId="77777777" w:rsidR="00A16B45" w:rsidRPr="00E33CB3" w:rsidRDefault="00A16B45" w:rsidP="00A16B45">
      <w:pPr>
        <w:pStyle w:val="Loetelum"/>
        <w:numPr>
          <w:ilvl w:val="0"/>
          <w:numId w:val="4"/>
        </w:numPr>
        <w:rPr>
          <w:rFonts w:cs="Calibri"/>
          <w:szCs w:val="22"/>
        </w:rPr>
      </w:pPr>
      <w:r w:rsidRPr="00E33CB3">
        <w:rPr>
          <w:rFonts w:cs="Calibri"/>
          <w:szCs w:val="22"/>
        </w:rPr>
        <w:t>Täienduskoolituse õppekava</w:t>
      </w:r>
    </w:p>
    <w:p w14:paraId="3F36872E" w14:textId="77777777" w:rsidR="00A16B45" w:rsidRPr="00E33CB3" w:rsidRDefault="00A16B45" w:rsidP="00A16B45">
      <w:pPr>
        <w:pStyle w:val="Bodym"/>
        <w:numPr>
          <w:ilvl w:val="1"/>
          <w:numId w:val="4"/>
        </w:numPr>
        <w:rPr>
          <w:rFonts w:cs="Calibri"/>
          <w:szCs w:val="22"/>
        </w:rPr>
      </w:pPr>
      <w:r w:rsidRPr="00E33CB3">
        <w:rPr>
          <w:rFonts w:cs="Calibri"/>
          <w:szCs w:val="22"/>
        </w:rPr>
        <w:t xml:space="preserve">Täienduskoolituse korraldamise aluseks on </w:t>
      </w:r>
      <w:proofErr w:type="spellStart"/>
      <w:r w:rsidRPr="00E33CB3">
        <w:rPr>
          <w:rFonts w:cs="Calibri"/>
          <w:szCs w:val="22"/>
        </w:rPr>
        <w:t>TÕIS-is</w:t>
      </w:r>
      <w:proofErr w:type="spellEnd"/>
      <w:r w:rsidRPr="00E33CB3">
        <w:rPr>
          <w:rFonts w:cs="Calibri"/>
          <w:szCs w:val="22"/>
        </w:rPr>
        <w:t xml:space="preserve"> registreeritud täienduskoolituse õppekava, mikrokraadikavadel ja avatud õppes õppekavapõhised õppeained ja nende tunniplaan. </w:t>
      </w:r>
    </w:p>
    <w:p w14:paraId="29ECC9DA" w14:textId="77777777" w:rsidR="00A16B45" w:rsidRPr="00E33CB3" w:rsidRDefault="00A16B45" w:rsidP="00A16B45">
      <w:pPr>
        <w:pStyle w:val="Bodym"/>
        <w:numPr>
          <w:ilvl w:val="1"/>
          <w:numId w:val="4"/>
        </w:numPr>
        <w:rPr>
          <w:rFonts w:cs="Calibri"/>
          <w:szCs w:val="22"/>
        </w:rPr>
      </w:pPr>
      <w:r w:rsidRPr="00E33CB3">
        <w:rPr>
          <w:rFonts w:cs="Calibri"/>
          <w:szCs w:val="22"/>
        </w:rPr>
        <w:t xml:space="preserve">Täienduskoolituse õppekava peab vastama täienduskoolituse standardis kehtestatud täienduskoolituse õppekava nõuetele. </w:t>
      </w:r>
    </w:p>
    <w:p w14:paraId="7C087760" w14:textId="77777777" w:rsidR="00A16B45" w:rsidRPr="00E33CB3" w:rsidRDefault="00A16B45" w:rsidP="00A16B45">
      <w:pPr>
        <w:pStyle w:val="Bodym"/>
        <w:numPr>
          <w:ilvl w:val="1"/>
          <w:numId w:val="4"/>
        </w:numPr>
        <w:rPr>
          <w:rFonts w:cs="Calibri"/>
          <w:szCs w:val="22"/>
        </w:rPr>
      </w:pPr>
      <w:r w:rsidRPr="00E33CB3">
        <w:rPr>
          <w:rFonts w:cs="Calibri"/>
          <w:szCs w:val="22"/>
        </w:rPr>
        <w:t>Täienduskoolituse õppekava maht määratakse akadeemilistes tundides, mikrokraadi-, mikrokvalifikatsiooniõppe ja avatud õppe maht ainepunktides. Üks akadeemiline tund vastab 45 minutile ja üks ainepunkt 26 tunnile õppija tööle teadmiste ja oskuste omandamisel.</w:t>
      </w:r>
    </w:p>
    <w:p w14:paraId="6BD88D24" w14:textId="77777777" w:rsidR="00A16B45" w:rsidRPr="00E33CB3" w:rsidRDefault="00A16B45" w:rsidP="00A16B45">
      <w:pPr>
        <w:pStyle w:val="Bodym"/>
        <w:numPr>
          <w:ilvl w:val="1"/>
          <w:numId w:val="4"/>
        </w:numPr>
        <w:rPr>
          <w:rFonts w:cs="Calibri"/>
          <w:szCs w:val="22"/>
        </w:rPr>
      </w:pPr>
      <w:r w:rsidRPr="00E33CB3">
        <w:rPr>
          <w:rFonts w:cs="Calibri"/>
          <w:szCs w:val="22"/>
        </w:rPr>
        <w:t xml:space="preserve">Mikrokraadi- ja mikrokvalifikatsiooniõppe maht on 5 kuni 30 ainepunkti. Mikrokraadikavade esitamist ja mikrokraadiõppe läbiviimist ülikoolis reglementeerib täienduskoolituse eeskirja § 2 lõige 1 nimetatud prorektori kehtestatud mikrokraadi ja mikrokvalifikatsiooni õppekavade juhend.  </w:t>
      </w:r>
    </w:p>
    <w:p w14:paraId="6DAB943D" w14:textId="77777777" w:rsidR="00A16B45" w:rsidRPr="00E33CB3" w:rsidRDefault="00A16B45" w:rsidP="00A16B45">
      <w:pPr>
        <w:pStyle w:val="Bodym"/>
        <w:numPr>
          <w:ilvl w:val="1"/>
          <w:numId w:val="4"/>
        </w:numPr>
        <w:rPr>
          <w:rFonts w:cs="Calibri"/>
          <w:szCs w:val="22"/>
        </w:rPr>
      </w:pPr>
      <w:r w:rsidRPr="00E33CB3">
        <w:rPr>
          <w:rFonts w:cs="Calibri"/>
          <w:szCs w:val="22"/>
        </w:rPr>
        <w:t>Täienduskoolitust korraldatakse õppekava alusel õppepäeva, kursuse või kursuste tsükli ehk moodulitena. Täienduskoolitus võib toimuda kontaktõppe, e-õppe, iseseisva töö või praktilise töö vormis.</w:t>
      </w:r>
    </w:p>
    <w:p w14:paraId="6A62D33B" w14:textId="77777777" w:rsidR="00A16B45" w:rsidRPr="00E33CB3" w:rsidRDefault="00A16B45" w:rsidP="00A16B45">
      <w:pPr>
        <w:pStyle w:val="Bodym"/>
        <w:numPr>
          <w:ilvl w:val="1"/>
          <w:numId w:val="4"/>
        </w:numPr>
        <w:rPr>
          <w:rFonts w:cs="Calibri"/>
          <w:szCs w:val="22"/>
        </w:rPr>
      </w:pPr>
      <w:r w:rsidRPr="00E33CB3">
        <w:rPr>
          <w:rFonts w:cs="Calibri"/>
          <w:szCs w:val="22"/>
        </w:rPr>
        <w:t xml:space="preserve">Täienduskoolituse õppekava avamiseks sisestab täienduskoolituse eest vastutav isik õppekava andmed </w:t>
      </w:r>
      <w:proofErr w:type="spellStart"/>
      <w:r w:rsidRPr="00E33CB3">
        <w:rPr>
          <w:rFonts w:cs="Calibri"/>
          <w:szCs w:val="22"/>
        </w:rPr>
        <w:t>TÕIS-i</w:t>
      </w:r>
      <w:proofErr w:type="spellEnd"/>
      <w:r w:rsidRPr="00E33CB3">
        <w:rPr>
          <w:rFonts w:cs="Calibri"/>
          <w:szCs w:val="22"/>
        </w:rPr>
        <w:t>.</w:t>
      </w:r>
    </w:p>
    <w:p w14:paraId="6C4E6E00" w14:textId="77777777" w:rsidR="00A16B45" w:rsidRPr="00E33CB3" w:rsidRDefault="00A16B45" w:rsidP="00A16B45">
      <w:pPr>
        <w:pStyle w:val="Bodym"/>
        <w:numPr>
          <w:ilvl w:val="1"/>
          <w:numId w:val="4"/>
        </w:numPr>
        <w:rPr>
          <w:rFonts w:cs="Calibri"/>
          <w:szCs w:val="22"/>
        </w:rPr>
      </w:pPr>
      <w:r w:rsidRPr="00E33CB3">
        <w:rPr>
          <w:rFonts w:cs="Calibri"/>
          <w:szCs w:val="22"/>
        </w:rPr>
        <w:t xml:space="preserve">Täienduskoolituse õppekava koostatakse õpiväljundipõhiselt ja kinnitatakse </w:t>
      </w:r>
      <w:proofErr w:type="spellStart"/>
      <w:r w:rsidRPr="00E33CB3">
        <w:rPr>
          <w:rFonts w:cs="Calibri"/>
          <w:szCs w:val="22"/>
        </w:rPr>
        <w:t>TÕIS-is</w:t>
      </w:r>
      <w:proofErr w:type="spellEnd"/>
      <w:r w:rsidRPr="00E33CB3">
        <w:rPr>
          <w:rFonts w:cs="Calibri"/>
          <w:szCs w:val="22"/>
        </w:rPr>
        <w:t xml:space="preserve"> õpet korraldava struktuuriüksuse juhi või tema määratud isiku poolt. Õpiväljundid on kirjeldatud õppekava läbiviimiseks vajalikul tasemel.</w:t>
      </w:r>
    </w:p>
    <w:p w14:paraId="17DEE19A" w14:textId="77777777" w:rsidR="00A16B45" w:rsidRPr="00E33CB3" w:rsidRDefault="00A16B45" w:rsidP="00A16B45">
      <w:pPr>
        <w:pStyle w:val="Bodym"/>
        <w:numPr>
          <w:ilvl w:val="1"/>
          <w:numId w:val="4"/>
        </w:numPr>
        <w:rPr>
          <w:rFonts w:cs="Calibri"/>
          <w:szCs w:val="22"/>
        </w:rPr>
      </w:pPr>
      <w:r w:rsidRPr="00E33CB3">
        <w:rPr>
          <w:rFonts w:cs="Calibri"/>
          <w:szCs w:val="22"/>
        </w:rPr>
        <w:t>Kui täienduskoolituse õppekava on koostatud kutsestandardi, mõne muu riiklikult kehtestatud standardi või formaalõppe õppekava alusel, viidatakse õppekavas vastavale standardile või formaalõppe õppekavale ja selle moodulile või õppeainele.</w:t>
      </w:r>
    </w:p>
    <w:p w14:paraId="5C817E20" w14:textId="77777777" w:rsidR="00A16B45" w:rsidRPr="00E33CB3" w:rsidRDefault="00A16B45" w:rsidP="00A16B45">
      <w:pPr>
        <w:pStyle w:val="Loetelum"/>
        <w:numPr>
          <w:ilvl w:val="0"/>
          <w:numId w:val="4"/>
        </w:numPr>
        <w:rPr>
          <w:rFonts w:cs="Calibri"/>
          <w:szCs w:val="22"/>
        </w:rPr>
      </w:pPr>
      <w:r w:rsidRPr="00E33CB3">
        <w:rPr>
          <w:rFonts w:cs="Calibri"/>
          <w:szCs w:val="22"/>
        </w:rPr>
        <w:t>Hindamistulemuste vormistamine ja dokumendid</w:t>
      </w:r>
    </w:p>
    <w:p w14:paraId="6ED07FC4" w14:textId="77777777" w:rsidR="00A16B45" w:rsidRPr="00E33CB3" w:rsidRDefault="00A16B45" w:rsidP="00A16B45">
      <w:pPr>
        <w:pStyle w:val="Bodym"/>
        <w:numPr>
          <w:ilvl w:val="1"/>
          <w:numId w:val="4"/>
        </w:numPr>
        <w:rPr>
          <w:rFonts w:cs="Calibri"/>
          <w:szCs w:val="22"/>
        </w:rPr>
      </w:pPr>
      <w:r w:rsidRPr="00E33CB3">
        <w:rPr>
          <w:rFonts w:cs="Calibri"/>
          <w:szCs w:val="22"/>
        </w:rPr>
        <w:t xml:space="preserve">Täienduskoolituse hindamistulemused vormistatakse vastavalt täienduskoolituse määratlusele kas </w:t>
      </w:r>
      <w:proofErr w:type="spellStart"/>
      <w:r w:rsidRPr="00E33CB3">
        <w:rPr>
          <w:rFonts w:cs="Calibri"/>
          <w:szCs w:val="22"/>
        </w:rPr>
        <w:t>TÕIS-is</w:t>
      </w:r>
      <w:proofErr w:type="spellEnd"/>
      <w:r w:rsidRPr="00E33CB3">
        <w:rPr>
          <w:rFonts w:cs="Calibri"/>
          <w:szCs w:val="22"/>
        </w:rPr>
        <w:t xml:space="preserve"> või </w:t>
      </w:r>
      <w:proofErr w:type="spellStart"/>
      <w:r w:rsidRPr="00E33CB3">
        <w:rPr>
          <w:rFonts w:cs="Calibri"/>
          <w:szCs w:val="22"/>
        </w:rPr>
        <w:t>ÕIS-is</w:t>
      </w:r>
      <w:proofErr w:type="spellEnd"/>
      <w:r w:rsidRPr="00E33CB3">
        <w:rPr>
          <w:rFonts w:cs="Calibri"/>
          <w:szCs w:val="22"/>
        </w:rPr>
        <w:t>.</w:t>
      </w:r>
    </w:p>
    <w:p w14:paraId="4FC282DB" w14:textId="77777777" w:rsidR="00A16B45" w:rsidRPr="00E33CB3" w:rsidRDefault="00A16B45" w:rsidP="00A16B45">
      <w:pPr>
        <w:pStyle w:val="Bodym"/>
        <w:numPr>
          <w:ilvl w:val="1"/>
          <w:numId w:val="4"/>
        </w:numPr>
        <w:rPr>
          <w:rFonts w:cs="Calibri"/>
          <w:szCs w:val="22"/>
        </w:rPr>
      </w:pPr>
      <w:r w:rsidRPr="00E33CB3">
        <w:rPr>
          <w:rFonts w:cs="Calibri"/>
          <w:szCs w:val="22"/>
        </w:rPr>
        <w:t xml:space="preserve">Hindamistulemused sisestab </w:t>
      </w:r>
      <w:proofErr w:type="spellStart"/>
      <w:r w:rsidRPr="00E33CB3">
        <w:rPr>
          <w:rFonts w:cs="Calibri"/>
          <w:szCs w:val="22"/>
        </w:rPr>
        <w:t>TÕIS-i</w:t>
      </w:r>
      <w:proofErr w:type="spellEnd"/>
      <w:r w:rsidRPr="00E33CB3">
        <w:rPr>
          <w:rFonts w:cs="Calibri"/>
          <w:szCs w:val="22"/>
        </w:rPr>
        <w:t xml:space="preserve"> või </w:t>
      </w:r>
      <w:proofErr w:type="spellStart"/>
      <w:r w:rsidRPr="00E33CB3">
        <w:rPr>
          <w:rFonts w:cs="Calibri"/>
          <w:szCs w:val="22"/>
        </w:rPr>
        <w:t>ÕIS-i</w:t>
      </w:r>
      <w:proofErr w:type="spellEnd"/>
      <w:r w:rsidRPr="00E33CB3">
        <w:rPr>
          <w:rFonts w:cs="Calibri"/>
          <w:szCs w:val="22"/>
        </w:rPr>
        <w:t xml:space="preserve"> õpet läbiviiv akadeemiline töötaja või struktuuriüksuse juhi määratud töötaja. Hindamislehe allkirjastab õpet läbiviiv akadeemiline töötaja.</w:t>
      </w:r>
    </w:p>
    <w:p w14:paraId="7422E0C0" w14:textId="77777777" w:rsidR="00A16B45" w:rsidRPr="00E33CB3" w:rsidRDefault="00A16B45" w:rsidP="00A16B45">
      <w:pPr>
        <w:pStyle w:val="Bodym"/>
        <w:numPr>
          <w:ilvl w:val="1"/>
          <w:numId w:val="4"/>
        </w:numPr>
        <w:rPr>
          <w:rFonts w:cs="Calibri"/>
          <w:szCs w:val="22"/>
        </w:rPr>
      </w:pPr>
      <w:r w:rsidRPr="00E33CB3">
        <w:rPr>
          <w:rFonts w:cs="Calibri"/>
          <w:szCs w:val="22"/>
        </w:rPr>
        <w:t>Täienduskoolituse läbimise ja täienduskoolituses osalemise kohta väljastatakse täienduskoolituse standardiga kehtestatud nõuetele vastav tõend või tunnistus.</w:t>
      </w:r>
    </w:p>
    <w:p w14:paraId="791513BE" w14:textId="77777777" w:rsidR="00A16B45" w:rsidRPr="00E33CB3" w:rsidRDefault="00A16B45" w:rsidP="00A16B45">
      <w:pPr>
        <w:pStyle w:val="Bodym"/>
        <w:numPr>
          <w:ilvl w:val="1"/>
          <w:numId w:val="4"/>
        </w:numPr>
        <w:rPr>
          <w:rFonts w:cs="Calibri"/>
          <w:szCs w:val="22"/>
        </w:rPr>
      </w:pPr>
      <w:r w:rsidRPr="00E33CB3">
        <w:rPr>
          <w:rFonts w:cs="Calibri"/>
          <w:szCs w:val="22"/>
        </w:rPr>
        <w:t>Tõend väljastatakse täiendusõppijale, kes on täienduskoolitusel osalenud või täienduskoolituse läbinud, kuid koolitusel ei hinnatud või täiendusõppija ei saavutanud õpiväljundeid.</w:t>
      </w:r>
    </w:p>
    <w:p w14:paraId="38A352BD" w14:textId="77777777" w:rsidR="00A16B45" w:rsidRPr="00E33CB3" w:rsidRDefault="00A16B45" w:rsidP="00A16B45">
      <w:pPr>
        <w:pStyle w:val="Bodym"/>
        <w:numPr>
          <w:ilvl w:val="1"/>
          <w:numId w:val="4"/>
        </w:numPr>
        <w:rPr>
          <w:rFonts w:cs="Calibri"/>
          <w:szCs w:val="22"/>
        </w:rPr>
      </w:pPr>
      <w:r w:rsidRPr="00E33CB3">
        <w:rPr>
          <w:rFonts w:cs="Calibri"/>
          <w:szCs w:val="22"/>
        </w:rPr>
        <w:t>Tunnistus väljastatakse isikule, kes on läbinud täienduskoolituse õppekava ettenähtud mahus ning koolituse käigus hinnati õpiväljundite saavutatust ja isik saavutas kõik õppekava lõpetamiseks nõutud õpiväljundid.</w:t>
      </w:r>
    </w:p>
    <w:p w14:paraId="6CA9FA18" w14:textId="77777777" w:rsidR="00A16B45" w:rsidRPr="00E33CB3" w:rsidRDefault="00A16B45" w:rsidP="00A16B45">
      <w:pPr>
        <w:pStyle w:val="Bodym"/>
        <w:numPr>
          <w:ilvl w:val="1"/>
          <w:numId w:val="4"/>
        </w:numPr>
        <w:rPr>
          <w:rFonts w:cs="Calibri"/>
          <w:szCs w:val="22"/>
        </w:rPr>
      </w:pPr>
      <w:r w:rsidRPr="00E33CB3">
        <w:rPr>
          <w:rFonts w:cs="Calibri"/>
          <w:szCs w:val="22"/>
        </w:rPr>
        <w:t>Tõendi ja tunnistusega koos võib ülikool vajadusel väljastada lisa, mis on täienduskoolituse tõendi või tunnistuse lahutamatu osa.</w:t>
      </w:r>
    </w:p>
    <w:p w14:paraId="4FEC57F7" w14:textId="77777777" w:rsidR="00A16B45" w:rsidRPr="00E33CB3" w:rsidRDefault="00A16B45" w:rsidP="00A16B45">
      <w:pPr>
        <w:pStyle w:val="Bodym"/>
        <w:numPr>
          <w:ilvl w:val="1"/>
          <w:numId w:val="4"/>
        </w:numPr>
        <w:rPr>
          <w:rFonts w:cs="Calibri"/>
          <w:szCs w:val="22"/>
        </w:rPr>
      </w:pPr>
      <w:r w:rsidRPr="00E33CB3">
        <w:rPr>
          <w:rFonts w:cs="Calibri"/>
          <w:szCs w:val="22"/>
        </w:rPr>
        <w:t xml:space="preserve">Tunnistus, tõend ja nende lisad vormistatakse eesti keeles. Täiendusõppija taotlusel või täienduskoolitust korraldava struktuuriüksuse juhi otsusel võib tunnistuse, tõendi ja lisad vormistada inglise keeles. </w:t>
      </w:r>
    </w:p>
    <w:p w14:paraId="38F77247" w14:textId="77777777" w:rsidR="00A16B45" w:rsidRPr="00E33CB3" w:rsidRDefault="00A16B45" w:rsidP="00A16B45">
      <w:pPr>
        <w:pStyle w:val="Bodym"/>
        <w:numPr>
          <w:ilvl w:val="1"/>
          <w:numId w:val="4"/>
        </w:numPr>
        <w:rPr>
          <w:rFonts w:cs="Calibri"/>
          <w:szCs w:val="22"/>
        </w:rPr>
      </w:pPr>
      <w:r w:rsidRPr="00E33CB3">
        <w:rPr>
          <w:rFonts w:cs="Calibri"/>
          <w:szCs w:val="22"/>
        </w:rPr>
        <w:t>Täienduskoolituse tunnistus, tõend ja lisad väljastatakse elektroonselt, kui täienduskoolituse õppekavas pole määratud teisiti. Täiendusõppija taotlusel või täienduskoolitust korraldava üksuse otsusel võib täienduskoolituse tunnistuse, tõendi ja lisad väljastada ka paberkandjal.</w:t>
      </w:r>
    </w:p>
    <w:p w14:paraId="07E7D594" w14:textId="77777777" w:rsidR="00A16B45" w:rsidRPr="00E33CB3" w:rsidRDefault="00A16B45" w:rsidP="00A16B45">
      <w:pPr>
        <w:pStyle w:val="Bodym"/>
        <w:numPr>
          <w:ilvl w:val="1"/>
          <w:numId w:val="4"/>
        </w:numPr>
        <w:rPr>
          <w:rFonts w:cs="Calibri"/>
          <w:szCs w:val="22"/>
        </w:rPr>
      </w:pPr>
      <w:r w:rsidRPr="00E33CB3">
        <w:rPr>
          <w:rFonts w:cs="Calibri"/>
          <w:szCs w:val="22"/>
        </w:rPr>
        <w:t>Digitaalsed dokumendid tõendatakse ülikooli kvalifitseeritud e-templi või täienduskoolitust korraldava üksuse juhi või tema volitatud isiku digitaalallkirjaga.</w:t>
      </w:r>
    </w:p>
    <w:p w14:paraId="63F942B0" w14:textId="77777777" w:rsidR="00A16B45" w:rsidRPr="00E33CB3" w:rsidRDefault="00A16B45" w:rsidP="00A16B45">
      <w:pPr>
        <w:pStyle w:val="Bodym"/>
        <w:numPr>
          <w:ilvl w:val="1"/>
          <w:numId w:val="4"/>
        </w:numPr>
        <w:rPr>
          <w:rFonts w:cs="Calibri"/>
          <w:szCs w:val="22"/>
        </w:rPr>
      </w:pPr>
      <w:r w:rsidRPr="00E33CB3">
        <w:rPr>
          <w:rFonts w:cs="Calibri"/>
          <w:szCs w:val="22"/>
        </w:rPr>
        <w:t xml:space="preserve">Paberkandjal täienduskoolituse tunnistuse, tõendi ja lisad allkirjastab täienduskoolitust korraldava üksuse juht või avatud ülikooli juhataja ja väljastab need vastavalt ülikooli dokumentide hinnakirjale. </w:t>
      </w:r>
    </w:p>
    <w:p w14:paraId="6C80556B" w14:textId="77777777" w:rsidR="00A16B45" w:rsidRPr="00E33CB3" w:rsidRDefault="00A16B45" w:rsidP="00A16B45">
      <w:pPr>
        <w:pStyle w:val="Bodym"/>
        <w:numPr>
          <w:ilvl w:val="1"/>
          <w:numId w:val="4"/>
        </w:numPr>
        <w:rPr>
          <w:rFonts w:cs="Calibri"/>
          <w:szCs w:val="22"/>
        </w:rPr>
      </w:pPr>
      <w:r w:rsidRPr="00E33CB3">
        <w:rPr>
          <w:rFonts w:cs="Calibri"/>
          <w:szCs w:val="22"/>
        </w:rPr>
        <w:t xml:space="preserve">Täienduskoolituse tunnistused ja tõendid registreeritakse </w:t>
      </w:r>
      <w:proofErr w:type="spellStart"/>
      <w:r w:rsidRPr="00E33CB3">
        <w:rPr>
          <w:rFonts w:cs="Calibri"/>
          <w:szCs w:val="22"/>
        </w:rPr>
        <w:t>TÕIS-is</w:t>
      </w:r>
      <w:proofErr w:type="spellEnd"/>
      <w:r w:rsidRPr="00E33CB3">
        <w:rPr>
          <w:rFonts w:cs="Calibri"/>
          <w:szCs w:val="22"/>
        </w:rPr>
        <w:t xml:space="preserve"> tunnistuste ja tõendite registris v.a riikliku täienduskoolituse tellimuse alusel läbiviidud koolitused, mille kohta väljastatavad dokumendid registreeritakse haridus- ja teadusministeeriumi infosüsteemis JUHAN. </w:t>
      </w:r>
    </w:p>
    <w:p w14:paraId="1259D0E7" w14:textId="77777777" w:rsidR="00A16B45" w:rsidRPr="00E33CB3" w:rsidRDefault="00A16B45" w:rsidP="00A16B45">
      <w:pPr>
        <w:pStyle w:val="Bodym"/>
        <w:numPr>
          <w:ilvl w:val="1"/>
          <w:numId w:val="4"/>
        </w:numPr>
        <w:rPr>
          <w:rFonts w:cs="Calibri"/>
          <w:szCs w:val="22"/>
        </w:rPr>
      </w:pPr>
      <w:proofErr w:type="spellStart"/>
      <w:r w:rsidRPr="00E33CB3">
        <w:rPr>
          <w:rFonts w:cs="Calibri"/>
          <w:szCs w:val="22"/>
        </w:rPr>
        <w:t>TÕIS-i</w:t>
      </w:r>
      <w:proofErr w:type="spellEnd"/>
      <w:r w:rsidRPr="00E33CB3">
        <w:rPr>
          <w:rFonts w:cs="Calibri"/>
          <w:szCs w:val="22"/>
        </w:rPr>
        <w:t xml:space="preserve"> tunnistuste ja tõendite registrit haldab ja tunnistuste, tõendite ning lisade väljastamist koordineerib avatud ülikool.</w:t>
      </w:r>
    </w:p>
    <w:p w14:paraId="1AAFD81B" w14:textId="77777777" w:rsidR="00A16B45" w:rsidRPr="00E33CB3" w:rsidRDefault="00A16B45" w:rsidP="00A16B45">
      <w:pPr>
        <w:pStyle w:val="Bodym"/>
        <w:numPr>
          <w:ilvl w:val="1"/>
          <w:numId w:val="4"/>
        </w:numPr>
        <w:rPr>
          <w:rFonts w:cs="Calibri"/>
          <w:szCs w:val="22"/>
        </w:rPr>
      </w:pPr>
      <w:r w:rsidRPr="00E33CB3">
        <w:rPr>
          <w:rFonts w:cs="Calibri"/>
          <w:szCs w:val="22"/>
        </w:rPr>
        <w:t xml:space="preserve">Mikrokraadi- ja mikrokvalifikatsiooniõppe tunnistuste andmed edastab </w:t>
      </w:r>
      <w:proofErr w:type="spellStart"/>
      <w:r w:rsidRPr="00E33CB3">
        <w:rPr>
          <w:rFonts w:cs="Calibri"/>
          <w:szCs w:val="22"/>
        </w:rPr>
        <w:t>EHIS-esse</w:t>
      </w:r>
      <w:proofErr w:type="spellEnd"/>
      <w:r w:rsidRPr="00E33CB3">
        <w:rPr>
          <w:rFonts w:cs="Calibri"/>
          <w:szCs w:val="22"/>
        </w:rPr>
        <w:t xml:space="preserve"> avatud ülikool. </w:t>
      </w:r>
    </w:p>
    <w:p w14:paraId="67024166" w14:textId="77777777" w:rsidR="00A16B45" w:rsidRPr="00E33CB3" w:rsidRDefault="00A16B45" w:rsidP="00A16B45">
      <w:pPr>
        <w:pStyle w:val="Loetelum"/>
        <w:numPr>
          <w:ilvl w:val="0"/>
          <w:numId w:val="4"/>
        </w:numPr>
        <w:rPr>
          <w:rFonts w:cs="Calibri"/>
          <w:szCs w:val="22"/>
        </w:rPr>
      </w:pPr>
      <w:r w:rsidRPr="00E33CB3">
        <w:rPr>
          <w:rFonts w:cs="Calibri"/>
          <w:szCs w:val="22"/>
        </w:rPr>
        <w:t>Täienduskoolituse kvaliteedi tagamise põhimõtted</w:t>
      </w:r>
    </w:p>
    <w:p w14:paraId="5C93CBBB" w14:textId="77777777" w:rsidR="00A16B45" w:rsidRPr="00E33CB3" w:rsidRDefault="00A16B45" w:rsidP="00A16B45">
      <w:pPr>
        <w:pStyle w:val="Bodym"/>
        <w:numPr>
          <w:ilvl w:val="1"/>
          <w:numId w:val="4"/>
        </w:numPr>
        <w:rPr>
          <w:rFonts w:cs="Calibri"/>
          <w:szCs w:val="22"/>
        </w:rPr>
      </w:pPr>
      <w:r w:rsidRPr="00E33CB3">
        <w:rPr>
          <w:rFonts w:cs="Calibri"/>
          <w:szCs w:val="22"/>
        </w:rPr>
        <w:t xml:space="preserve">Täienduskoolituse kvaliteet tagatakse õppe sisu, täienduskoolituse korralduse ja õppekeskkonna arendusega vastavalt täiskasvanute koolituse seadusele, täiendusõppe standardile, ülikooli arengukavale ja ülikoolis täiendusõppe korraldust reguleerivatele eeskirjadele. </w:t>
      </w:r>
    </w:p>
    <w:p w14:paraId="2CFBB16E" w14:textId="77777777" w:rsidR="00A16B45" w:rsidRPr="00E33CB3" w:rsidRDefault="00A16B45" w:rsidP="00A16B45">
      <w:pPr>
        <w:pStyle w:val="Bodym"/>
        <w:numPr>
          <w:ilvl w:val="1"/>
          <w:numId w:val="4"/>
        </w:numPr>
        <w:rPr>
          <w:rFonts w:cs="Calibri"/>
          <w:szCs w:val="22"/>
        </w:rPr>
      </w:pPr>
      <w:r w:rsidRPr="00E33CB3">
        <w:rPr>
          <w:rFonts w:cs="Calibri"/>
          <w:szCs w:val="22"/>
        </w:rPr>
        <w:t xml:space="preserve">Täienduskoolitusel osalejatelt küsitakse täienduskoolituse läbiviimisel tagasisidet koolituse korralduse, sisu ja õppejõudude ning koolituse eesmärkidele vastavuse kohta kokkulepitud õpiväljundite saavutamiseks. Tagasisidet arvestatakse järgmiste koolituste planeerimisel ja läbiviimisel. Tagasiside kokkuvõte säilitatakse </w:t>
      </w:r>
      <w:proofErr w:type="spellStart"/>
      <w:r w:rsidRPr="00E33CB3">
        <w:rPr>
          <w:rFonts w:cs="Calibri"/>
          <w:szCs w:val="22"/>
        </w:rPr>
        <w:t>TÕIS-is</w:t>
      </w:r>
      <w:proofErr w:type="spellEnd"/>
      <w:r w:rsidRPr="00E33CB3">
        <w:rPr>
          <w:rFonts w:cs="Calibri"/>
          <w:szCs w:val="22"/>
        </w:rPr>
        <w:t>.</w:t>
      </w:r>
    </w:p>
    <w:p w14:paraId="4ED2A366" w14:textId="77777777" w:rsidR="00A16B45" w:rsidRPr="00E33CB3" w:rsidRDefault="00A16B45" w:rsidP="00A16B45">
      <w:pPr>
        <w:pStyle w:val="Bodym"/>
        <w:numPr>
          <w:ilvl w:val="1"/>
          <w:numId w:val="4"/>
        </w:numPr>
        <w:rPr>
          <w:rFonts w:cs="Calibri"/>
          <w:szCs w:val="22"/>
        </w:rPr>
      </w:pPr>
      <w:r w:rsidRPr="00E33CB3">
        <w:rPr>
          <w:rFonts w:cs="Calibri"/>
          <w:szCs w:val="22"/>
        </w:rPr>
        <w:t>Täiendusõppijal on õigus saada täienduskoolituse kursustega seotud infot ja esitada oma ettepanekuid ja pretensioone täiendusõpet läbiviiva üksuse juhile või avatud ülikooli juhatajale. Pretensioonile vastatakse üldjuhul ühe nädala jooksul.</w:t>
      </w:r>
    </w:p>
    <w:p w14:paraId="01D3631D" w14:textId="77777777" w:rsidR="00A16B45" w:rsidRPr="00E33CB3" w:rsidRDefault="00A16B45" w:rsidP="00A16B45">
      <w:pPr>
        <w:pStyle w:val="Bodym"/>
        <w:numPr>
          <w:ilvl w:val="1"/>
          <w:numId w:val="4"/>
        </w:numPr>
        <w:rPr>
          <w:rFonts w:cs="Calibri"/>
          <w:szCs w:val="22"/>
        </w:rPr>
      </w:pPr>
      <w:r w:rsidRPr="00E33CB3">
        <w:rPr>
          <w:rFonts w:cs="Calibri"/>
          <w:szCs w:val="22"/>
        </w:rPr>
        <w:t xml:space="preserve">Kui pretensioon esitatakse tellimuskoolitusena toimunud täienduskoolituse kohta, mille kohta on sõlmitud koolitusteenuse osutamise leping, lähtutakse lepingus sätestatust. </w:t>
      </w:r>
    </w:p>
    <w:p w14:paraId="258E07F5" w14:textId="77777777" w:rsidR="00A16B45" w:rsidRPr="00E33CB3" w:rsidRDefault="00A16B45" w:rsidP="00A16B45">
      <w:pPr>
        <w:pStyle w:val="Loetelum"/>
        <w:numPr>
          <w:ilvl w:val="0"/>
          <w:numId w:val="4"/>
        </w:numPr>
        <w:rPr>
          <w:rFonts w:cs="Calibri"/>
          <w:szCs w:val="22"/>
        </w:rPr>
      </w:pPr>
      <w:r w:rsidRPr="00E33CB3">
        <w:rPr>
          <w:rFonts w:cs="Calibri"/>
          <w:szCs w:val="22"/>
        </w:rPr>
        <w:t>Täienduskoolituse finantskorraldus</w:t>
      </w:r>
    </w:p>
    <w:p w14:paraId="54D4133A" w14:textId="77777777" w:rsidR="00A16B45" w:rsidRPr="00E33CB3" w:rsidRDefault="00A16B45" w:rsidP="00A16B45">
      <w:pPr>
        <w:pStyle w:val="Bodym"/>
        <w:numPr>
          <w:ilvl w:val="1"/>
          <w:numId w:val="4"/>
        </w:numPr>
        <w:rPr>
          <w:rFonts w:cs="Calibri"/>
          <w:szCs w:val="22"/>
        </w:rPr>
      </w:pPr>
      <w:r w:rsidRPr="00E33CB3">
        <w:rPr>
          <w:rFonts w:cs="Calibri"/>
          <w:szCs w:val="22"/>
        </w:rPr>
        <w:t>Täienduskoolitus, mikrokraadiõpe, mikrokvalifikatsiooniõpe ja avatud õpe on ülikooli poolt osutatavad tasulised teenused. Õppetasu kujuneb vastavalt ülikoolis kehtestatud tasumääradele ja hinnakalkulatsioonile.</w:t>
      </w:r>
    </w:p>
    <w:p w14:paraId="66F28504" w14:textId="77777777" w:rsidR="00A16B45" w:rsidRPr="00E33CB3" w:rsidRDefault="00A16B45" w:rsidP="00A16B45">
      <w:pPr>
        <w:pStyle w:val="Bodym"/>
        <w:numPr>
          <w:ilvl w:val="1"/>
          <w:numId w:val="4"/>
        </w:numPr>
        <w:rPr>
          <w:rFonts w:cs="Calibri"/>
          <w:szCs w:val="22"/>
        </w:rPr>
      </w:pPr>
      <w:r w:rsidRPr="00E33CB3">
        <w:rPr>
          <w:rFonts w:cs="Calibri"/>
          <w:szCs w:val="22"/>
        </w:rPr>
        <w:t>Täienduskoolituse ja mikrokvalifikatsiooniõppe eest tasumise ja õppest loobumise tingimused:</w:t>
      </w:r>
    </w:p>
    <w:p w14:paraId="00E5C858" w14:textId="77777777" w:rsidR="00A16B45" w:rsidRPr="00E33CB3" w:rsidRDefault="00A16B45" w:rsidP="00A16B45">
      <w:pPr>
        <w:pStyle w:val="Bodym1"/>
        <w:numPr>
          <w:ilvl w:val="2"/>
          <w:numId w:val="4"/>
        </w:numPr>
        <w:rPr>
          <w:rFonts w:cs="Calibri"/>
          <w:szCs w:val="22"/>
        </w:rPr>
      </w:pPr>
      <w:r w:rsidRPr="00E33CB3">
        <w:rPr>
          <w:rFonts w:cs="Calibri"/>
          <w:szCs w:val="22"/>
        </w:rPr>
        <w:t>Täienduskoolitusele või mikrokvalifikatsiooniõppesse registreerunul tekib ülikooli ees õppetasu maksmise kohustus. Õppetasu kuulub maksmisele mitte hiljem kui neli (4) tööpäeva enne täiendusõppe algust.</w:t>
      </w:r>
    </w:p>
    <w:p w14:paraId="0A437BF0" w14:textId="77777777" w:rsidR="00A16B45" w:rsidRPr="00E33CB3" w:rsidRDefault="00A16B45" w:rsidP="00A16B45">
      <w:pPr>
        <w:pStyle w:val="Bodym1"/>
        <w:numPr>
          <w:ilvl w:val="2"/>
          <w:numId w:val="4"/>
        </w:numPr>
        <w:rPr>
          <w:rFonts w:cs="Calibri"/>
          <w:szCs w:val="22"/>
        </w:rPr>
      </w:pPr>
      <w:r w:rsidRPr="00E33CB3">
        <w:rPr>
          <w:rFonts w:cs="Calibri"/>
          <w:szCs w:val="22"/>
        </w:rPr>
        <w:t xml:space="preserve">Kui  registreerunu loobub täienduskoolitusest varem kui neli (4) tööpäeva enne täienduskoolituse algust, õppetasu tasumise kohustust ei teki. </w:t>
      </w:r>
    </w:p>
    <w:p w14:paraId="59F660DB" w14:textId="77777777" w:rsidR="00A16B45" w:rsidRPr="00E33CB3" w:rsidRDefault="00A16B45" w:rsidP="00A16B45">
      <w:pPr>
        <w:pStyle w:val="Bodym1"/>
        <w:numPr>
          <w:ilvl w:val="2"/>
          <w:numId w:val="4"/>
        </w:numPr>
        <w:rPr>
          <w:rFonts w:cs="Calibri"/>
          <w:szCs w:val="22"/>
        </w:rPr>
      </w:pPr>
      <w:r w:rsidRPr="00E33CB3">
        <w:rPr>
          <w:rFonts w:cs="Calibri"/>
          <w:szCs w:val="22"/>
        </w:rPr>
        <w:t xml:space="preserve">Kui registreerunu loobub täienduskoolitusest üks (1) kuni kolm (3) tööpäeva enne täienduskoolituse algust, tekib õppetasu maksmise kohustus 50% ulatuses kogu õppetasust.  </w:t>
      </w:r>
    </w:p>
    <w:p w14:paraId="5BEE9F84" w14:textId="77777777" w:rsidR="00A16B45" w:rsidRPr="00E33CB3" w:rsidRDefault="00A16B45" w:rsidP="00A16B45">
      <w:pPr>
        <w:pStyle w:val="Bodym1"/>
        <w:numPr>
          <w:ilvl w:val="2"/>
          <w:numId w:val="4"/>
        </w:numPr>
        <w:rPr>
          <w:rFonts w:asciiTheme="minorHAnsi" w:hAnsiTheme="minorHAnsi" w:cstheme="minorHAnsi"/>
          <w:szCs w:val="22"/>
        </w:rPr>
      </w:pPr>
      <w:r w:rsidRPr="00E33CB3">
        <w:rPr>
          <w:rFonts w:asciiTheme="minorHAnsi" w:hAnsiTheme="minorHAnsi" w:cstheme="minorHAnsi"/>
          <w:lang w:eastAsia="en-GB"/>
        </w:rPr>
        <w:t>Kui registreerunu ei ole ette teatanud täienduskoolitusest loobumisest ja täienduskoolitusele ei ilmu, tekib õppetasu maksmise kohustus 100% ulatuses kogu õppetasust.</w:t>
      </w:r>
    </w:p>
    <w:p w14:paraId="6C6A66F6" w14:textId="77777777" w:rsidR="00A16B45" w:rsidRPr="00E33CB3" w:rsidRDefault="00A16B45" w:rsidP="00A16B45">
      <w:pPr>
        <w:pStyle w:val="Bodym"/>
        <w:numPr>
          <w:ilvl w:val="1"/>
          <w:numId w:val="4"/>
        </w:numPr>
        <w:rPr>
          <w:rFonts w:cs="Calibri"/>
          <w:szCs w:val="22"/>
        </w:rPr>
      </w:pPr>
      <w:r w:rsidRPr="00E33CB3">
        <w:rPr>
          <w:rFonts w:cs="Calibri"/>
          <w:szCs w:val="22"/>
        </w:rPr>
        <w:t xml:space="preserve">Mikrokraadiõppes ja avatud õppes õppijatega sõlmitakse täiendusõppeteenuse leping, mille kohaselt esitatakse täiendusõppijale arve õppetasu maksmiseks. Õppetasu tuleb vastavalt täiendusõppeteenuse lepingule tasuda 14 kalendripäeva jooksul. </w:t>
      </w:r>
    </w:p>
    <w:p w14:paraId="48FCEDAB" w14:textId="77777777" w:rsidR="00A16B45" w:rsidRPr="00E33CB3" w:rsidRDefault="00A16B45" w:rsidP="00A16B45">
      <w:pPr>
        <w:pStyle w:val="Bodym"/>
        <w:numPr>
          <w:ilvl w:val="1"/>
          <w:numId w:val="4"/>
        </w:numPr>
        <w:rPr>
          <w:rFonts w:cs="Calibri"/>
          <w:szCs w:val="22"/>
        </w:rPr>
      </w:pPr>
      <w:r w:rsidRPr="00E33CB3">
        <w:rPr>
          <w:rFonts w:cs="Calibri"/>
          <w:szCs w:val="22"/>
        </w:rPr>
        <w:t>Täienduskoolituse mittetoimumisel ülikooli süül tagastatakse täiendusõppijale õppetasu täies ulatuses.</w:t>
      </w:r>
    </w:p>
    <w:p w14:paraId="2A368E2B" w14:textId="77777777" w:rsidR="00A16B45" w:rsidRPr="00E33CB3" w:rsidRDefault="00A16B45" w:rsidP="00A16B45">
      <w:pPr>
        <w:pStyle w:val="Bodym"/>
        <w:numPr>
          <w:ilvl w:val="1"/>
          <w:numId w:val="4"/>
        </w:numPr>
        <w:rPr>
          <w:rFonts w:cs="Calibri"/>
          <w:szCs w:val="22"/>
        </w:rPr>
      </w:pPr>
      <w:r w:rsidRPr="00E33CB3">
        <w:rPr>
          <w:rFonts w:cs="Calibri"/>
          <w:szCs w:val="22"/>
        </w:rPr>
        <w:t>Täienduskoolituse õppetasu käibemaksuga maksustamise tingimused:</w:t>
      </w:r>
    </w:p>
    <w:p w14:paraId="09F8C152" w14:textId="77777777" w:rsidR="00A16B45" w:rsidRPr="00E33CB3" w:rsidRDefault="00A16B45" w:rsidP="00A16B45">
      <w:pPr>
        <w:pStyle w:val="Bodym1"/>
        <w:numPr>
          <w:ilvl w:val="2"/>
          <w:numId w:val="4"/>
        </w:numPr>
        <w:rPr>
          <w:rFonts w:cs="Calibri"/>
          <w:szCs w:val="22"/>
        </w:rPr>
      </w:pPr>
      <w:r w:rsidRPr="00E33CB3">
        <w:rPr>
          <w:rFonts w:cs="Calibri"/>
          <w:szCs w:val="22"/>
        </w:rPr>
        <w:t xml:space="preserve">avatud õppe ja kooliõpilastele suunatud kursuste korraldamisel välistab ülikool ärilise eesmärgi taotlemise ning õppetasu ei maksustata käibemaksuga; </w:t>
      </w:r>
    </w:p>
    <w:p w14:paraId="271D1506" w14:textId="77777777" w:rsidR="00A16B45" w:rsidRPr="00E33CB3" w:rsidRDefault="00A16B45" w:rsidP="00A16B45">
      <w:pPr>
        <w:pStyle w:val="Bodym1"/>
        <w:numPr>
          <w:ilvl w:val="2"/>
          <w:numId w:val="4"/>
        </w:numPr>
        <w:rPr>
          <w:rFonts w:cs="Calibri"/>
          <w:szCs w:val="22"/>
        </w:rPr>
      </w:pPr>
      <w:r w:rsidRPr="00E33CB3">
        <w:rPr>
          <w:rFonts w:cs="Calibri"/>
          <w:szCs w:val="22"/>
        </w:rPr>
        <w:t>mikrokraadi- ja mikrokvalifikatsioonõppe õppetasu ei maksustata käibemaksuga, kui õppekava on koostatud ainult tasemeõppeainetest, mida ei maksustata käibemaksuga;</w:t>
      </w:r>
    </w:p>
    <w:p w14:paraId="21BC3D6E" w14:textId="77777777" w:rsidR="00A16B45" w:rsidRPr="00E33CB3" w:rsidRDefault="00A16B45" w:rsidP="00A16B45">
      <w:pPr>
        <w:pStyle w:val="Bodym1"/>
        <w:numPr>
          <w:ilvl w:val="2"/>
          <w:numId w:val="4"/>
        </w:numPr>
        <w:rPr>
          <w:rFonts w:cs="Calibri"/>
          <w:szCs w:val="22"/>
        </w:rPr>
      </w:pPr>
      <w:r w:rsidRPr="00E33CB3">
        <w:rPr>
          <w:rFonts w:cs="Calibri"/>
          <w:szCs w:val="22"/>
        </w:rPr>
        <w:t>muu täienduskoolituse teenus maksustatakse käibemaksuga juhul, kui teenuse pakkumisel konkureeritakse koolitusturul täiendusõppe pakkujaga, kes on käibemaksukohustuslane käibemaksuseaduse tähenduses.</w:t>
      </w:r>
    </w:p>
    <w:p w14:paraId="4D8D6BEB" w14:textId="77777777" w:rsidR="00A16B45" w:rsidRPr="00E33CB3" w:rsidRDefault="00A16B45" w:rsidP="00A16B45">
      <w:pPr>
        <w:pStyle w:val="Loetelum"/>
        <w:numPr>
          <w:ilvl w:val="0"/>
          <w:numId w:val="4"/>
        </w:numPr>
        <w:rPr>
          <w:rFonts w:cs="Calibri"/>
          <w:szCs w:val="22"/>
        </w:rPr>
      </w:pPr>
      <w:r w:rsidRPr="00E33CB3">
        <w:rPr>
          <w:rFonts w:cs="Calibri"/>
          <w:szCs w:val="22"/>
        </w:rPr>
        <w:t>VÕTA täiendusõppes</w:t>
      </w:r>
    </w:p>
    <w:p w14:paraId="4571F0BC" w14:textId="77777777" w:rsidR="00A16B45" w:rsidRPr="00E33CB3" w:rsidRDefault="00A16B45" w:rsidP="00A16B45">
      <w:pPr>
        <w:pStyle w:val="Bodym"/>
        <w:numPr>
          <w:ilvl w:val="1"/>
          <w:numId w:val="4"/>
        </w:numPr>
        <w:rPr>
          <w:rFonts w:cs="Calibri"/>
          <w:szCs w:val="22"/>
        </w:rPr>
      </w:pPr>
      <w:r w:rsidRPr="00E33CB3">
        <w:rPr>
          <w:rFonts w:cs="Calibri"/>
          <w:szCs w:val="22"/>
        </w:rPr>
        <w:t xml:space="preserve">Täiendusõppija võib taotleda </w:t>
      </w:r>
      <w:proofErr w:type="spellStart"/>
      <w:r w:rsidRPr="00E33CB3">
        <w:rPr>
          <w:rFonts w:cs="Calibri"/>
          <w:szCs w:val="22"/>
        </w:rPr>
        <w:t>VÕTA-t</w:t>
      </w:r>
      <w:proofErr w:type="spellEnd"/>
      <w:r w:rsidRPr="00E33CB3">
        <w:rPr>
          <w:rFonts w:cs="Calibri"/>
          <w:szCs w:val="22"/>
        </w:rPr>
        <w:t xml:space="preserve"> vastavalt ülikooli senati kehtestatud varasemate õpingute ja töökogemuse arvestamise eeskirjale (senati 12.12.2023 määrus nr 9).</w:t>
      </w:r>
    </w:p>
    <w:p w14:paraId="3F2D3862" w14:textId="77777777" w:rsidR="00A16B45" w:rsidRPr="00E33CB3" w:rsidRDefault="00A16B45" w:rsidP="00A16B45">
      <w:pPr>
        <w:pStyle w:val="Loetelum"/>
        <w:numPr>
          <w:ilvl w:val="0"/>
          <w:numId w:val="4"/>
        </w:numPr>
        <w:rPr>
          <w:rFonts w:cs="Calibri"/>
          <w:szCs w:val="22"/>
        </w:rPr>
      </w:pPr>
      <w:r w:rsidRPr="00E33CB3">
        <w:rPr>
          <w:rFonts w:cs="Calibri"/>
          <w:szCs w:val="22"/>
        </w:rPr>
        <w:t>Aruandlus</w:t>
      </w:r>
    </w:p>
    <w:p w14:paraId="44D8EA82" w14:textId="77777777" w:rsidR="00A16B45" w:rsidRPr="00E33CB3" w:rsidRDefault="00A16B45" w:rsidP="00A16B45">
      <w:pPr>
        <w:pStyle w:val="Bodym"/>
        <w:numPr>
          <w:ilvl w:val="1"/>
          <w:numId w:val="4"/>
        </w:numPr>
        <w:rPr>
          <w:rFonts w:cs="Calibri"/>
          <w:szCs w:val="22"/>
        </w:rPr>
      </w:pPr>
      <w:r w:rsidRPr="00E33CB3">
        <w:rPr>
          <w:rFonts w:cs="Calibri"/>
          <w:szCs w:val="22"/>
        </w:rPr>
        <w:t xml:space="preserve">Ülikooli täienduskoolituse aruandlus on </w:t>
      </w:r>
      <w:proofErr w:type="spellStart"/>
      <w:r w:rsidRPr="00E33CB3">
        <w:rPr>
          <w:rFonts w:cs="Calibri"/>
          <w:szCs w:val="22"/>
        </w:rPr>
        <w:t>ÕIS-i</w:t>
      </w:r>
      <w:proofErr w:type="spellEnd"/>
      <w:r w:rsidRPr="00E33CB3">
        <w:rPr>
          <w:rFonts w:cs="Calibri"/>
          <w:szCs w:val="22"/>
        </w:rPr>
        <w:t xml:space="preserve">, </w:t>
      </w:r>
      <w:proofErr w:type="spellStart"/>
      <w:r w:rsidRPr="00E33CB3">
        <w:rPr>
          <w:rFonts w:cs="Calibri"/>
          <w:szCs w:val="22"/>
        </w:rPr>
        <w:t>TÕIS-i</w:t>
      </w:r>
      <w:proofErr w:type="spellEnd"/>
      <w:r w:rsidRPr="00E33CB3">
        <w:rPr>
          <w:rFonts w:cs="Calibri"/>
          <w:szCs w:val="22"/>
        </w:rPr>
        <w:t xml:space="preserve"> ning tunnistuste ja tõendite registri põhine, sisaldades andmeid täienduskoolituse valdkonna tegevus- ja tulemusnäitajate, sh rahalise mahu kohta.</w:t>
      </w:r>
    </w:p>
    <w:p w14:paraId="50A94E13" w14:textId="77777777" w:rsidR="00A16B45" w:rsidRPr="00E33CB3" w:rsidRDefault="00A16B45" w:rsidP="00A16B45">
      <w:pPr>
        <w:pStyle w:val="Bodym"/>
        <w:numPr>
          <w:ilvl w:val="1"/>
          <w:numId w:val="4"/>
        </w:numPr>
        <w:rPr>
          <w:rFonts w:cs="Calibri"/>
          <w:szCs w:val="22"/>
        </w:rPr>
      </w:pPr>
      <w:r w:rsidRPr="00E33CB3">
        <w:rPr>
          <w:rFonts w:cs="Calibri"/>
          <w:szCs w:val="22"/>
        </w:rPr>
        <w:t xml:space="preserve">Avatud ülikool koostab ülikooli täienduskoolituse aruande kalendriaasta põhiselt. </w:t>
      </w:r>
    </w:p>
    <w:p w14:paraId="735D24E7" w14:textId="77777777" w:rsidR="002D00F6" w:rsidRPr="00E33CB3" w:rsidRDefault="002D00F6" w:rsidP="002D00F6">
      <w:pPr>
        <w:pStyle w:val="Loetelum"/>
      </w:pPr>
      <w:r w:rsidRPr="00E33CB3">
        <w:t>Määruse kehtetuks tunnistamine</w:t>
      </w:r>
    </w:p>
    <w:p w14:paraId="575DB890" w14:textId="4152718E" w:rsidR="002D00F6" w:rsidRPr="00E33CB3" w:rsidRDefault="00A06377" w:rsidP="00A06377">
      <w:pPr>
        <w:pStyle w:val="Bodym"/>
      </w:pPr>
      <w:r w:rsidRPr="00E33CB3">
        <w:t>Tallinna Tehnikaülikooli nõukogu 16.10.2018 määrus nr 5 „Täiendusõppe eeskiri” tunnistatakse kehtetuks.</w:t>
      </w:r>
    </w:p>
    <w:p w14:paraId="417E55E3" w14:textId="77777777" w:rsidR="002D00F6" w:rsidRPr="00E33CB3" w:rsidRDefault="002D00F6" w:rsidP="002D00F6">
      <w:pPr>
        <w:pStyle w:val="Loetelum"/>
      </w:pPr>
      <w:r w:rsidRPr="00E33CB3">
        <w:t>Määruse jõustumine</w:t>
      </w:r>
    </w:p>
    <w:p w14:paraId="26B1BCAF" w14:textId="2814A832" w:rsidR="002D00F6" w:rsidRPr="00E33CB3" w:rsidRDefault="00A16B45" w:rsidP="00A16B45">
      <w:pPr>
        <w:pStyle w:val="Bodym"/>
        <w:numPr>
          <w:ilvl w:val="0"/>
          <w:numId w:val="0"/>
        </w:numPr>
      </w:pPr>
      <w:r w:rsidRPr="00E33CB3">
        <w:t>(1) Määrus jõustub alates 01.08.2025.</w:t>
      </w:r>
    </w:p>
    <w:p w14:paraId="4C39A1D7" w14:textId="77777777" w:rsidR="00114982" w:rsidRPr="00E33CB3" w:rsidRDefault="00114982" w:rsidP="00114982"/>
    <w:p w14:paraId="5A029670" w14:textId="77777777" w:rsidR="008018DF" w:rsidRPr="00E33CB3" w:rsidRDefault="008018DF" w:rsidP="00114982">
      <w:pPr>
        <w:tabs>
          <w:tab w:val="left" w:pos="7200"/>
        </w:tabs>
      </w:pPr>
    </w:p>
    <w:sectPr w:rsidR="008018DF" w:rsidRPr="00E33CB3" w:rsidSect="0084347C">
      <w:type w:val="continuous"/>
      <w:pgSz w:w="11906" w:h="16838" w:code="9"/>
      <w:pgMar w:top="680" w:right="851" w:bottom="680" w:left="1701" w:header="397" w:footer="51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8A1B5" w14:textId="77777777" w:rsidR="004929A0" w:rsidRDefault="004929A0">
      <w:r>
        <w:separator/>
      </w:r>
    </w:p>
  </w:endnote>
  <w:endnote w:type="continuationSeparator" w:id="0">
    <w:p w14:paraId="4AB94EBF" w14:textId="77777777" w:rsidR="004929A0" w:rsidRDefault="00492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68677" w14:textId="77777777" w:rsidR="006E63F7" w:rsidRDefault="006E63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D14D7C" w14:textId="77777777" w:rsidR="006E63F7" w:rsidRDefault="006E6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A1599" w14:textId="77777777" w:rsidR="004929A0" w:rsidRDefault="004929A0">
      <w:r>
        <w:separator/>
      </w:r>
    </w:p>
  </w:footnote>
  <w:footnote w:type="continuationSeparator" w:id="0">
    <w:p w14:paraId="76F8DE93" w14:textId="77777777" w:rsidR="004929A0" w:rsidRDefault="00492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5DA25" w14:textId="77777777" w:rsidR="006E63F7" w:rsidRDefault="006E63F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4E7CE9" w14:textId="77777777" w:rsidR="006E63F7" w:rsidRDefault="006E63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3059231"/>
      <w:docPartObj>
        <w:docPartGallery w:val="Page Numbers (Top of Page)"/>
        <w:docPartUnique/>
      </w:docPartObj>
    </w:sdtPr>
    <w:sdtEndPr/>
    <w:sdtContent>
      <w:p w14:paraId="3D1FE2E4" w14:textId="77777777" w:rsidR="0084347C" w:rsidRDefault="0084347C">
        <w:pPr>
          <w:pStyle w:val="Header"/>
          <w:jc w:val="center"/>
        </w:pPr>
        <w:r>
          <w:fldChar w:fldCharType="begin"/>
        </w:r>
        <w:r>
          <w:instrText>PAGE   \* MERGEFORMAT</w:instrText>
        </w:r>
        <w:r>
          <w:fldChar w:fldCharType="separate"/>
        </w:r>
        <w:r w:rsidR="00030292">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021EB"/>
    <w:multiLevelType w:val="multilevel"/>
    <w:tmpl w:val="38766D9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2E040D31"/>
    <w:multiLevelType w:val="multilevel"/>
    <w:tmpl w:val="B0A06DB2"/>
    <w:lvl w:ilvl="0">
      <w:start w:val="1"/>
      <w:numFmt w:val="decimal"/>
      <w:pStyle w:val="Loetelum"/>
      <w:suff w:val="space"/>
      <w:lvlText w:val="§ %1. "/>
      <w:lvlJc w:val="left"/>
      <w:pPr>
        <w:ind w:left="0" w:firstLine="0"/>
      </w:pPr>
      <w:rPr>
        <w:rFonts w:hint="default"/>
        <w:b/>
        <w:i w:val="0"/>
      </w:rPr>
    </w:lvl>
    <w:lvl w:ilvl="1">
      <w:start w:val="1"/>
      <w:numFmt w:val="decimal"/>
      <w:pStyle w:val="Bodym"/>
      <w:suff w:val="space"/>
      <w:lvlText w:val="(%2)"/>
      <w:lvlJc w:val="left"/>
      <w:pPr>
        <w:ind w:left="0" w:firstLine="0"/>
      </w:pPr>
      <w:rPr>
        <w:rFonts w:hint="default"/>
      </w:rPr>
    </w:lvl>
    <w:lvl w:ilvl="2">
      <w:start w:val="1"/>
      <w:numFmt w:val="decimal"/>
      <w:pStyle w:val="Bodym1"/>
      <w:suff w:val="space"/>
      <w:lvlText w:val="%3)"/>
      <w:lvlJc w:val="left"/>
      <w:pPr>
        <w:ind w:left="0" w:firstLine="0"/>
      </w:pPr>
      <w:rPr>
        <w:rFonts w:hint="default"/>
      </w:rPr>
    </w:lvl>
    <w:lvl w:ilvl="3">
      <w:start w:val="1"/>
      <w:numFmt w:val="decimal"/>
      <w:lvlText w:val="%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412027A1"/>
    <w:multiLevelType w:val="multilevel"/>
    <w:tmpl w:val="62CCA5A8"/>
    <w:lvl w:ilvl="0">
      <w:start w:val="1"/>
      <w:numFmt w:val="decimal"/>
      <w:pStyle w:val="Lisatekstm"/>
      <w:suff w:val="space"/>
      <w:lvlText w:val="%1."/>
      <w:lvlJc w:val="left"/>
      <w:pPr>
        <w:ind w:left="0" w:firstLine="0"/>
      </w:pPr>
      <w:rPr>
        <w:rFonts w:hint="default"/>
      </w:rPr>
    </w:lvl>
    <w:lvl w:ilvl="1">
      <w:start w:val="1"/>
      <w:numFmt w:val="decimal"/>
      <w:pStyle w:val="Bodylisam"/>
      <w:suff w:val="space"/>
      <w:lvlText w:val="%1.%2"/>
      <w:lvlJc w:val="left"/>
      <w:pPr>
        <w:ind w:left="0" w:firstLine="0"/>
      </w:pPr>
      <w:rPr>
        <w:rFonts w:hint="default"/>
      </w:rPr>
    </w:lvl>
    <w:lvl w:ilvl="2">
      <w:start w:val="1"/>
      <w:numFmt w:val="decimal"/>
      <w:pStyle w:val="Bodymlisa"/>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73001177"/>
    <w:multiLevelType w:val="multilevel"/>
    <w:tmpl w:val="64E4EAF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776A7C5C"/>
    <w:multiLevelType w:val="multilevel"/>
    <w:tmpl w:val="25FEE3C2"/>
    <w:lvl w:ilvl="0">
      <w:start w:val="1"/>
      <w:numFmt w:val="decimal"/>
      <w:pStyle w:val="Heading1"/>
      <w:suff w:val="nothing"/>
      <w:lvlText w:val="%1. peatükk"/>
      <w:lvlJc w:val="left"/>
      <w:pPr>
        <w:ind w:left="0" w:firstLine="0"/>
      </w:pPr>
      <w:rPr>
        <w:rFonts w:hint="default"/>
      </w:rPr>
    </w:lvl>
    <w:lvl w:ilvl="1">
      <w:start w:val="1"/>
      <w:numFmt w:val="decimal"/>
      <w:pStyle w:val="Heading2"/>
      <w:lvlText w:val="%1.%2"/>
      <w:lvlJc w:val="left"/>
      <w:pPr>
        <w:tabs>
          <w:tab w:val="num" w:pos="576"/>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385834082">
    <w:abstractNumId w:val="3"/>
  </w:num>
  <w:num w:numId="2" w16cid:durableId="1167670580">
    <w:abstractNumId w:val="4"/>
  </w:num>
  <w:num w:numId="3" w16cid:durableId="1900438548">
    <w:abstractNumId w:val="0"/>
  </w:num>
  <w:num w:numId="4" w16cid:durableId="668873391">
    <w:abstractNumId w:val="1"/>
  </w:num>
  <w:num w:numId="5" w16cid:durableId="109981796">
    <w:abstractNumId w:val="1"/>
  </w:num>
  <w:num w:numId="6" w16cid:durableId="274946590">
    <w:abstractNumId w:val="1"/>
  </w:num>
  <w:num w:numId="7" w16cid:durableId="1080643754">
    <w:abstractNumId w:val="1"/>
  </w:num>
  <w:num w:numId="8" w16cid:durableId="1392121799">
    <w:abstractNumId w:val="2"/>
  </w:num>
  <w:num w:numId="9" w16cid:durableId="1799030345">
    <w:abstractNumId w:val="1"/>
  </w:num>
  <w:num w:numId="10" w16cid:durableId="660159801">
    <w:abstractNumId w:val="1"/>
  </w:num>
  <w:num w:numId="11" w16cid:durableId="783502076">
    <w:abstractNumId w:val="1"/>
  </w:num>
  <w:num w:numId="12" w16cid:durableId="912545717">
    <w:abstractNumId w:val="1"/>
  </w:num>
  <w:num w:numId="13" w16cid:durableId="1508910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3"/>
  <w:drawingGridVerticalSpacing w:val="113"/>
  <w:displayVerticalDrawingGridEvery w:val="0"/>
  <w:doNotUseMarginsForDrawingGridOrigin/>
  <w:drawingGridVerticalOrigin w:val="1985"/>
  <w:noPunctuationKerning/>
  <w:characterSpacingControl w:val="doNotCompress"/>
  <w:savePreviewPicture/>
  <w:hdrShapeDefaults>
    <o:shapedefaults v:ext="edit" spidmax="2050" fillcolor="white">
      <v:fill color="white"/>
      <v:textbox inset=",,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196"/>
    <w:rsid w:val="0000118B"/>
    <w:rsid w:val="00022956"/>
    <w:rsid w:val="00030292"/>
    <w:rsid w:val="00045E22"/>
    <w:rsid w:val="00056A9C"/>
    <w:rsid w:val="00067010"/>
    <w:rsid w:val="00077345"/>
    <w:rsid w:val="000D7B48"/>
    <w:rsid w:val="000E0598"/>
    <w:rsid w:val="001126B9"/>
    <w:rsid w:val="00114982"/>
    <w:rsid w:val="00136C3A"/>
    <w:rsid w:val="00161DD2"/>
    <w:rsid w:val="00181A1C"/>
    <w:rsid w:val="00185310"/>
    <w:rsid w:val="001873E4"/>
    <w:rsid w:val="0019009D"/>
    <w:rsid w:val="001D25A2"/>
    <w:rsid w:val="001E30C3"/>
    <w:rsid w:val="001F5008"/>
    <w:rsid w:val="00200083"/>
    <w:rsid w:val="00210F74"/>
    <w:rsid w:val="00216B5D"/>
    <w:rsid w:val="00245E2F"/>
    <w:rsid w:val="002C18AE"/>
    <w:rsid w:val="002C60A6"/>
    <w:rsid w:val="002D00F6"/>
    <w:rsid w:val="0031245F"/>
    <w:rsid w:val="003159EB"/>
    <w:rsid w:val="00322AC0"/>
    <w:rsid w:val="003359E5"/>
    <w:rsid w:val="00344B49"/>
    <w:rsid w:val="003608EE"/>
    <w:rsid w:val="0037162D"/>
    <w:rsid w:val="00376200"/>
    <w:rsid w:val="00391473"/>
    <w:rsid w:val="003E0055"/>
    <w:rsid w:val="004012EB"/>
    <w:rsid w:val="0040333E"/>
    <w:rsid w:val="0040530C"/>
    <w:rsid w:val="0040547F"/>
    <w:rsid w:val="00405B53"/>
    <w:rsid w:val="004107CA"/>
    <w:rsid w:val="0042252F"/>
    <w:rsid w:val="00435E89"/>
    <w:rsid w:val="0044614E"/>
    <w:rsid w:val="00453FC0"/>
    <w:rsid w:val="004555CC"/>
    <w:rsid w:val="00466707"/>
    <w:rsid w:val="00485C13"/>
    <w:rsid w:val="004929A0"/>
    <w:rsid w:val="004A4F7A"/>
    <w:rsid w:val="004B0E0D"/>
    <w:rsid w:val="004B2641"/>
    <w:rsid w:val="004B6534"/>
    <w:rsid w:val="004D6D78"/>
    <w:rsid w:val="004E660B"/>
    <w:rsid w:val="00525AC9"/>
    <w:rsid w:val="00541B93"/>
    <w:rsid w:val="00543BFE"/>
    <w:rsid w:val="00577F41"/>
    <w:rsid w:val="00587ED2"/>
    <w:rsid w:val="005C6670"/>
    <w:rsid w:val="00655B65"/>
    <w:rsid w:val="006634D5"/>
    <w:rsid w:val="00685B50"/>
    <w:rsid w:val="00685D9B"/>
    <w:rsid w:val="006C452A"/>
    <w:rsid w:val="006E0D2A"/>
    <w:rsid w:val="006E1CF0"/>
    <w:rsid w:val="006E3F85"/>
    <w:rsid w:val="006E63F7"/>
    <w:rsid w:val="006F4067"/>
    <w:rsid w:val="00701A36"/>
    <w:rsid w:val="00714988"/>
    <w:rsid w:val="007174FE"/>
    <w:rsid w:val="00737813"/>
    <w:rsid w:val="0074053D"/>
    <w:rsid w:val="00753B4D"/>
    <w:rsid w:val="00767AC5"/>
    <w:rsid w:val="007820B3"/>
    <w:rsid w:val="00784674"/>
    <w:rsid w:val="00796BD0"/>
    <w:rsid w:val="007A03CB"/>
    <w:rsid w:val="007D486B"/>
    <w:rsid w:val="008018DF"/>
    <w:rsid w:val="008155D5"/>
    <w:rsid w:val="00824B27"/>
    <w:rsid w:val="00832D31"/>
    <w:rsid w:val="0084347C"/>
    <w:rsid w:val="00870F2D"/>
    <w:rsid w:val="008B31B5"/>
    <w:rsid w:val="008E7355"/>
    <w:rsid w:val="008F3055"/>
    <w:rsid w:val="008F4EDB"/>
    <w:rsid w:val="00900F04"/>
    <w:rsid w:val="009163E3"/>
    <w:rsid w:val="009745AE"/>
    <w:rsid w:val="009767CA"/>
    <w:rsid w:val="009C2357"/>
    <w:rsid w:val="009C6F1C"/>
    <w:rsid w:val="009E44AB"/>
    <w:rsid w:val="00A06377"/>
    <w:rsid w:val="00A16004"/>
    <w:rsid w:val="00A16B45"/>
    <w:rsid w:val="00A204FA"/>
    <w:rsid w:val="00A21113"/>
    <w:rsid w:val="00A40EDE"/>
    <w:rsid w:val="00A77BDA"/>
    <w:rsid w:val="00A87E67"/>
    <w:rsid w:val="00AA13D1"/>
    <w:rsid w:val="00AA3C18"/>
    <w:rsid w:val="00AA6EBA"/>
    <w:rsid w:val="00AD4F2A"/>
    <w:rsid w:val="00AD5505"/>
    <w:rsid w:val="00AD6477"/>
    <w:rsid w:val="00B06059"/>
    <w:rsid w:val="00B23D2E"/>
    <w:rsid w:val="00B666E3"/>
    <w:rsid w:val="00B67AAA"/>
    <w:rsid w:val="00B77786"/>
    <w:rsid w:val="00B87F47"/>
    <w:rsid w:val="00B937B6"/>
    <w:rsid w:val="00BC75A6"/>
    <w:rsid w:val="00BF6405"/>
    <w:rsid w:val="00C07EBA"/>
    <w:rsid w:val="00C11D43"/>
    <w:rsid w:val="00C23EAE"/>
    <w:rsid w:val="00C36459"/>
    <w:rsid w:val="00C51C87"/>
    <w:rsid w:val="00C570F2"/>
    <w:rsid w:val="00CB1196"/>
    <w:rsid w:val="00CB1F28"/>
    <w:rsid w:val="00CC0123"/>
    <w:rsid w:val="00CE5D1C"/>
    <w:rsid w:val="00CF6EFF"/>
    <w:rsid w:val="00D10066"/>
    <w:rsid w:val="00D20826"/>
    <w:rsid w:val="00D42434"/>
    <w:rsid w:val="00D514F1"/>
    <w:rsid w:val="00D73B85"/>
    <w:rsid w:val="00D77586"/>
    <w:rsid w:val="00D803FE"/>
    <w:rsid w:val="00D82C55"/>
    <w:rsid w:val="00D84724"/>
    <w:rsid w:val="00D86176"/>
    <w:rsid w:val="00D873C8"/>
    <w:rsid w:val="00DA41AF"/>
    <w:rsid w:val="00DD488F"/>
    <w:rsid w:val="00E22D1C"/>
    <w:rsid w:val="00E33CB3"/>
    <w:rsid w:val="00E35C69"/>
    <w:rsid w:val="00E77564"/>
    <w:rsid w:val="00E825F5"/>
    <w:rsid w:val="00EB357F"/>
    <w:rsid w:val="00EB3D47"/>
    <w:rsid w:val="00ED720D"/>
    <w:rsid w:val="00F31D4C"/>
    <w:rsid w:val="00F33C01"/>
    <w:rsid w:val="00F50E19"/>
    <w:rsid w:val="00F75D96"/>
    <w:rsid w:val="00F875F9"/>
    <w:rsid w:val="00F91E6B"/>
    <w:rsid w:val="00F94FAF"/>
    <w:rsid w:val="00FE3C03"/>
    <w:rsid w:val="00FE792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
    </o:shapedefaults>
    <o:shapelayout v:ext="edit">
      <o:idmap v:ext="edit" data="2"/>
    </o:shapelayout>
  </w:shapeDefaults>
  <w:decimalSymbol w:val=","/>
  <w:listSeparator w:val=";"/>
  <w14:docId w14:val="61919A93"/>
  <w15:docId w15:val="{DDB221AB-36F5-4CEA-ACC4-EF0EBCCAA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18"/>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59E5"/>
  </w:style>
  <w:style w:type="paragraph" w:styleId="Heading1">
    <w:name w:val="heading 1"/>
    <w:basedOn w:val="Normal"/>
    <w:next w:val="Loetelum"/>
    <w:qFormat/>
    <w:rsid w:val="00543BFE"/>
    <w:pPr>
      <w:keepNext/>
      <w:numPr>
        <w:numId w:val="2"/>
      </w:numPr>
      <w:spacing w:before="360" w:after="200"/>
      <w:jc w:val="center"/>
      <w:outlineLvl w:val="0"/>
    </w:pPr>
    <w:rPr>
      <w:b/>
      <w:kern w:val="32"/>
      <w:szCs w:val="32"/>
    </w:rPr>
  </w:style>
  <w:style w:type="paragraph" w:styleId="Heading2">
    <w:name w:val="heading 2"/>
    <w:basedOn w:val="Normal"/>
    <w:next w:val="Normal"/>
    <w:pPr>
      <w:keepNext/>
      <w:numPr>
        <w:ilvl w:val="1"/>
        <w:numId w:val="2"/>
      </w:numPr>
      <w:spacing w:before="240" w:after="60"/>
      <w:outlineLvl w:val="1"/>
    </w:pPr>
    <w:rPr>
      <w:rFonts w:ascii="Arial" w:hAnsi="Arial"/>
      <w:b/>
      <w:i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style>
  <w:style w:type="character" w:styleId="PageNumber">
    <w:name w:val="page number"/>
    <w:basedOn w:val="DefaultParagraphFont"/>
  </w:style>
  <w:style w:type="paragraph" w:customStyle="1" w:styleId="Bodym1">
    <w:name w:val="Bodym1"/>
    <w:basedOn w:val="Bodym"/>
    <w:rsid w:val="00DD488F"/>
    <w:pPr>
      <w:numPr>
        <w:ilvl w:val="2"/>
      </w:numPr>
      <w:spacing w:before="0"/>
    </w:pPr>
  </w:style>
  <w:style w:type="paragraph" w:customStyle="1" w:styleId="Loetelu">
    <w:name w:val="Loetelu"/>
    <w:basedOn w:val="BodyText"/>
    <w:pPr>
      <w:spacing w:before="120"/>
    </w:pPr>
  </w:style>
  <w:style w:type="paragraph" w:customStyle="1" w:styleId="Bodyt">
    <w:name w:val="Bodyt"/>
    <w:basedOn w:val="Normal"/>
  </w:style>
  <w:style w:type="paragraph" w:customStyle="1" w:styleId="Loetelum">
    <w:name w:val="Loetelum"/>
    <w:basedOn w:val="Loetelu"/>
    <w:rsid w:val="00DD488F"/>
    <w:pPr>
      <w:keepNext/>
      <w:numPr>
        <w:numId w:val="13"/>
      </w:numPr>
    </w:pPr>
    <w:rPr>
      <w:b/>
    </w:rPr>
  </w:style>
  <w:style w:type="paragraph" w:customStyle="1" w:styleId="Bodym">
    <w:name w:val="Bodym"/>
    <w:basedOn w:val="Bodyt"/>
    <w:rsid w:val="00DD488F"/>
    <w:pPr>
      <w:numPr>
        <w:ilvl w:val="1"/>
        <w:numId w:val="13"/>
      </w:numPr>
      <w:spacing w:before="80"/>
    </w:pPr>
  </w:style>
  <w:style w:type="paragraph" w:customStyle="1" w:styleId="Body">
    <w:name w:val="Body"/>
    <w:basedOn w:val="Normal"/>
  </w:style>
  <w:style w:type="paragraph" w:styleId="BodyText2">
    <w:name w:val="Body Text 2"/>
    <w:basedOn w:val="Normal"/>
    <w:pPr>
      <w:spacing w:after="120" w:line="480" w:lineRule="auto"/>
    </w:pPr>
  </w:style>
  <w:style w:type="paragraph" w:customStyle="1" w:styleId="Bodyl">
    <w:name w:val="Bodyl"/>
    <w:basedOn w:val="Body"/>
    <w:rsid w:val="000D7B48"/>
    <w:pPr>
      <w:jc w:val="right"/>
    </w:pPr>
  </w:style>
  <w:style w:type="paragraph" w:customStyle="1" w:styleId="Lisatekstm">
    <w:name w:val="Lisatekstm"/>
    <w:basedOn w:val="Normal"/>
    <w:rsid w:val="000D7B48"/>
    <w:pPr>
      <w:numPr>
        <w:numId w:val="8"/>
      </w:numPr>
      <w:tabs>
        <w:tab w:val="left" w:pos="6521"/>
      </w:tabs>
      <w:spacing w:before="120"/>
    </w:pPr>
  </w:style>
  <w:style w:type="paragraph" w:customStyle="1" w:styleId="Bodylisam">
    <w:name w:val="Bodylisam"/>
    <w:basedOn w:val="Lisatekstm"/>
    <w:rsid w:val="000D7B48"/>
    <w:pPr>
      <w:numPr>
        <w:ilvl w:val="1"/>
      </w:numPr>
      <w:spacing w:before="80"/>
    </w:pPr>
  </w:style>
  <w:style w:type="paragraph" w:customStyle="1" w:styleId="Bodymlisa">
    <w:name w:val="Bodymlisa"/>
    <w:basedOn w:val="Lisatekstm"/>
    <w:rsid w:val="000D7B48"/>
    <w:pPr>
      <w:numPr>
        <w:ilvl w:val="2"/>
      </w:numPr>
      <w:spacing w:before="0"/>
    </w:pPr>
  </w:style>
  <w:style w:type="paragraph" w:customStyle="1" w:styleId="Dokumendinimetus">
    <w:name w:val="Dokumendi nimetus"/>
    <w:basedOn w:val="Normal"/>
    <w:next w:val="BodyText"/>
    <w:qFormat/>
    <w:rsid w:val="00DD488F"/>
    <w:pPr>
      <w:spacing w:before="920"/>
      <w:ind w:right="4706"/>
    </w:pPr>
    <w:rPr>
      <w:caps/>
      <w:sz w:val="28"/>
    </w:rPr>
  </w:style>
  <w:style w:type="paragraph" w:customStyle="1" w:styleId="Tallinn">
    <w:name w:val="Tallinn"/>
    <w:basedOn w:val="BodyText"/>
    <w:next w:val="BodyText"/>
    <w:qFormat/>
    <w:rsid w:val="00DD488F"/>
    <w:pPr>
      <w:tabs>
        <w:tab w:val="left" w:pos="6237"/>
      </w:tabs>
      <w:spacing w:before="80" w:after="120"/>
    </w:pPr>
  </w:style>
  <w:style w:type="paragraph" w:customStyle="1" w:styleId="Pealkiri">
    <w:name w:val="Pealkiri"/>
    <w:basedOn w:val="Normal"/>
    <w:next w:val="Normal"/>
    <w:qFormat/>
    <w:rsid w:val="00543BFE"/>
    <w:pPr>
      <w:spacing w:before="840" w:after="480"/>
      <w:ind w:right="5103"/>
    </w:pPr>
    <w:rPr>
      <w:b/>
    </w:rPr>
  </w:style>
  <w:style w:type="paragraph" w:customStyle="1" w:styleId="Tekst">
    <w:name w:val="Tekst"/>
    <w:basedOn w:val="BodyText"/>
    <w:rsid w:val="00DD488F"/>
    <w:pPr>
      <w:spacing w:after="120"/>
    </w:pPr>
  </w:style>
  <w:style w:type="paragraph" w:customStyle="1" w:styleId="Nimiall">
    <w:name w:val="Nimi all"/>
    <w:basedOn w:val="Normal"/>
    <w:qFormat/>
    <w:rsid w:val="00AD6477"/>
    <w:pPr>
      <w:tabs>
        <w:tab w:val="left" w:pos="5103"/>
      </w:tabs>
      <w:spacing w:before="960"/>
    </w:pPr>
  </w:style>
  <w:style w:type="paragraph" w:customStyle="1" w:styleId="Allkirjastajanimi">
    <w:name w:val="Allkirjastaja nimi"/>
    <w:basedOn w:val="BodyText"/>
    <w:next w:val="BodyText"/>
    <w:qFormat/>
    <w:rsid w:val="00C36459"/>
  </w:style>
  <w:style w:type="paragraph" w:customStyle="1" w:styleId="Allkirjastatuddigit">
    <w:name w:val="Allkirjastatud digit"/>
    <w:basedOn w:val="BodyText"/>
    <w:qFormat/>
    <w:rsid w:val="00D20826"/>
    <w:pPr>
      <w:spacing w:before="480" w:after="120"/>
    </w:pPr>
  </w:style>
  <w:style w:type="table" w:styleId="TableGrid">
    <w:name w:val="Table Grid"/>
    <w:basedOn w:val="TableNormal"/>
    <w:rsid w:val="00335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84347C"/>
    <w:rPr>
      <w:rFonts w:ascii="Calibri" w:hAnsi="Calibr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https://livettu.sharepoint.com/sites/TalTechassetlibrary/Assets/Senati_maaru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89F37F81358345BBF18940582FF4B8" ma:contentTypeVersion="16" ma:contentTypeDescription="Create a new document." ma:contentTypeScope="" ma:versionID="1cc6f96ce4bd99f28a5d7998dd39608e">
  <xsd:schema xmlns:xsd="http://www.w3.org/2001/XMLSchema" xmlns:xs="http://www.w3.org/2001/XMLSchema" xmlns:p="http://schemas.microsoft.com/office/2006/metadata/properties" xmlns:ns2="9b46b002-810e-45f6-a90e-880869899eb2" xmlns:ns3="c559d0dc-0d5e-4c40-8c16-36d4ddd0575a" targetNamespace="http://schemas.microsoft.com/office/2006/metadata/properties" ma:root="true" ma:fieldsID="f4e17041c96646bf7b091452a74ca88d" ns2:_="" ns3:_="">
    <xsd:import namespace="9b46b002-810e-45f6-a90e-880869899eb2"/>
    <xsd:import namespace="c559d0dc-0d5e-4c40-8c16-36d4ddd0575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6b002-810e-45f6-a90e-880869899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e5263c0-7114-47d3-8603-0e3ef132c9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59d0dc-0d5e-4c40-8c16-36d4ddd0575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babac4f-3a03-4b45-ad1f-e21acfaadc31}" ma:internalName="TaxCatchAll" ma:showField="CatchAllData" ma:web="c559d0dc-0d5e-4c40-8c16-36d4ddd057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46b002-810e-45f6-a90e-880869899eb2">
      <Terms xmlns="http://schemas.microsoft.com/office/infopath/2007/PartnerControls"/>
    </lcf76f155ced4ddcb4097134ff3c332f>
    <TaxCatchAll xmlns="c559d0dc-0d5e-4c40-8c16-36d4ddd0575a" xsi:nil="true"/>
  </documentManagement>
</p:properties>
</file>

<file path=customXml/itemProps1.xml><?xml version="1.0" encoding="utf-8"?>
<ds:datastoreItem xmlns:ds="http://schemas.openxmlformats.org/officeDocument/2006/customXml" ds:itemID="{497A3C78-D66E-41E3-B21A-E13564705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6b002-810e-45f6-a90e-880869899eb2"/>
    <ds:schemaRef ds:uri="c559d0dc-0d5e-4c40-8c16-36d4ddd05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6BD1E4-0996-4EA2-8B3B-5EE471F32BA4}">
  <ds:schemaRefs>
    <ds:schemaRef ds:uri="http://schemas.microsoft.com/sharepoint/v3/contenttype/forms"/>
  </ds:schemaRefs>
</ds:datastoreItem>
</file>

<file path=customXml/itemProps3.xml><?xml version="1.0" encoding="utf-8"?>
<ds:datastoreItem xmlns:ds="http://schemas.openxmlformats.org/officeDocument/2006/customXml" ds:itemID="{20E863DD-D31D-4788-8F4E-F4275742DE43}">
  <ds:schemaRefs>
    <ds:schemaRef ds:uri="http://schemas.microsoft.com/office/2006/metadata/properties"/>
    <ds:schemaRef ds:uri="http://schemas.microsoft.com/office/infopath/2007/PartnerControls"/>
    <ds:schemaRef ds:uri="9b46b002-810e-45f6-a90e-880869899eb2"/>
    <ds:schemaRef ds:uri="c559d0dc-0d5e-4c40-8c16-36d4ddd0575a"/>
  </ds:schemaRefs>
</ds:datastoreItem>
</file>

<file path=docProps/app.xml><?xml version="1.0" encoding="utf-8"?>
<Properties xmlns="http://schemas.openxmlformats.org/officeDocument/2006/extended-properties" xmlns:vt="http://schemas.openxmlformats.org/officeDocument/2006/docPropsVTypes">
  <Template>Senati_maarus</Template>
  <TotalTime>13</TotalTime>
  <Pages>4</Pages>
  <Words>1625</Words>
  <Characters>13132</Characters>
  <Application>Microsoft Office Word</Application>
  <DocSecurity>0</DocSecurity>
  <Lines>109</Lines>
  <Paragraphs>29</Paragraphs>
  <ScaleCrop>false</ScaleCrop>
  <HeadingPairs>
    <vt:vector size="2" baseType="variant">
      <vt:variant>
        <vt:lpstr>Title</vt:lpstr>
      </vt:variant>
      <vt:variant>
        <vt:i4>1</vt:i4>
      </vt:variant>
    </vt:vector>
  </HeadingPairs>
  <TitlesOfParts>
    <vt:vector size="1" baseType="lpstr">
      <vt:lpstr>Tallinna Tehnikaülikool</vt:lpstr>
    </vt:vector>
  </TitlesOfParts>
  <Company>TTY  Informaatikainstituut</Company>
  <LinksUpToDate>false</LinksUpToDate>
  <CharactersWithSpaces>14728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Tallinna Tehnikaülikool</dc:title>
  <dc:subject>määrus</dc:subject>
  <dc:creator>Tõnu Pihelgas</dc:creator>
  <cp:keywords/>
  <cp:lastModifiedBy>Kairi Schütz</cp:lastModifiedBy>
  <cp:revision>14</cp:revision>
  <cp:lastPrinted>2025-05-06T06:57:00Z</cp:lastPrinted>
  <dcterms:created xsi:type="dcterms:W3CDTF">2025-05-22T05:51:00Z</dcterms:created>
  <dcterms:modified xsi:type="dcterms:W3CDTF">2025-11-05T12:07:00Z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[kuupäev]</vt:lpwstr>
  </property>
  <property fmtid="{D5CDD505-2E9C-101B-9397-08002B2CF9AE}" pid="3" name="DLX:RegistrationNo">
    <vt:lpwstr>[nr]</vt:lpwstr>
  </property>
  <property fmtid="{D5CDD505-2E9C-101B-9397-08002B2CF9AE}" pid="4" name="ContentTypeId">
    <vt:lpwstr>0x010100D489F37F81358345BBF18940582FF4B8</vt:lpwstr>
  </property>
  <property fmtid="{D5CDD505-2E9C-101B-9397-08002B2CF9AE}" pid="5" name="MediaServiceImageTags">
    <vt:lpwstr/>
  </property>
</Properties>
</file>