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5B51" w14:textId="592E7DB5" w:rsidR="0031245F" w:rsidRPr="00AF2236" w:rsidRDefault="0031245F">
      <w:pPr>
        <w:pStyle w:val="BodyText"/>
        <w:sectPr w:rsidR="0031245F" w:rsidRPr="00AF2236" w:rsidSect="00E100DB">
          <w:headerReference w:type="even" r:id="rId9"/>
          <w:headerReference w:type="default" r:id="rId10"/>
          <w:footerReference w:type="even" r:id="rId11"/>
          <w:type w:val="continuous"/>
          <w:pgSz w:w="11906" w:h="16838" w:code="9"/>
          <w:pgMar w:top="426" w:right="244" w:bottom="510" w:left="238" w:header="454" w:footer="510" w:gutter="0"/>
          <w:cols w:space="708"/>
          <w:titlePg/>
        </w:sectPr>
      </w:pPr>
    </w:p>
    <w:p w14:paraId="085A3778" w14:textId="5BB15A11" w:rsidR="003D2865" w:rsidRPr="00AF2236" w:rsidRDefault="003D2865" w:rsidP="003D2865">
      <w:pPr>
        <w:pStyle w:val="Pealkiri"/>
        <w:spacing w:before="0" w:after="0"/>
        <w:ind w:right="-2"/>
        <w:jc w:val="right"/>
        <w:rPr>
          <w:b w:val="0"/>
          <w:bCs/>
        </w:rPr>
      </w:pPr>
      <w:r w:rsidRPr="00AF2236">
        <w:rPr>
          <w:b w:val="0"/>
          <w:bCs/>
        </w:rPr>
        <w:t>TERVIKTEKST</w:t>
      </w:r>
    </w:p>
    <w:p w14:paraId="1C3ACA6E" w14:textId="0B5D647A" w:rsidR="003D2865" w:rsidRPr="00AF2236" w:rsidRDefault="003D2865" w:rsidP="003D2865">
      <w:r w:rsidRPr="00AF2236">
        <w:t xml:space="preserve">Kehtestatud Tallinna Tehnikaülikooli senati </w:t>
      </w:r>
      <w:r w:rsidR="009843A1" w:rsidRPr="00AF2236">
        <w:t>07.10.2024 määrusega nr 4</w:t>
      </w:r>
      <w:r w:rsidR="000B146F" w:rsidRPr="00AF2236">
        <w:t xml:space="preserve"> (jõustunud 01.01.2025)</w:t>
      </w:r>
    </w:p>
    <w:p w14:paraId="4C756362" w14:textId="3AD80C3D" w:rsidR="000B146F" w:rsidRPr="00AF2236" w:rsidRDefault="000B146F" w:rsidP="003D2865">
      <w:r w:rsidRPr="00AF2236">
        <w:t>Muudetud Tallinna Tehnikaülikooli senati 27.01.2026 määrusega nr 1 (jõustunud 01.01.2026)</w:t>
      </w:r>
    </w:p>
    <w:p w14:paraId="6DEB2CD0" w14:textId="77777777" w:rsidR="008C33A6" w:rsidRPr="00AF2236" w:rsidRDefault="008C33A6" w:rsidP="008C33A6"/>
    <w:p w14:paraId="72231F98" w14:textId="4FDE48B3" w:rsidR="008C33A6" w:rsidRPr="00AF2236" w:rsidRDefault="008C33A6" w:rsidP="008C33A6">
      <w:r w:rsidRPr="00AF2236">
        <w:t xml:space="preserve">Redaktsiooni jõustumise kuupäev: </w:t>
      </w:r>
      <w:r w:rsidR="000B146F" w:rsidRPr="00AF2236">
        <w:t>01.01.2026</w:t>
      </w:r>
    </w:p>
    <w:p w14:paraId="075AD98D" w14:textId="77777777" w:rsidR="009843A1" w:rsidRPr="00AF2236" w:rsidRDefault="009843A1" w:rsidP="003D2865"/>
    <w:p w14:paraId="141C8422" w14:textId="61795FB9" w:rsidR="001E30C3" w:rsidRPr="00AF2236" w:rsidRDefault="007A5486" w:rsidP="00E100DB">
      <w:pPr>
        <w:pStyle w:val="Pealkiri"/>
        <w:spacing w:before="0" w:after="0"/>
      </w:pPr>
      <w:r w:rsidRPr="00AF2236">
        <w:t>Õppekava statuut</w:t>
      </w:r>
    </w:p>
    <w:p w14:paraId="3ADAB08E" w14:textId="77777777" w:rsidR="009843A1" w:rsidRPr="00AF2236" w:rsidRDefault="009843A1" w:rsidP="009843A1"/>
    <w:p w14:paraId="2505C41A" w14:textId="658B242C" w:rsidR="001E30C3" w:rsidRPr="00AF2236" w:rsidRDefault="001E30C3" w:rsidP="003359E5">
      <w:r w:rsidRPr="00AF2236">
        <w:t xml:space="preserve">Määrus kehtestatakse </w:t>
      </w:r>
      <w:r w:rsidR="007A5486" w:rsidRPr="00AF2236">
        <w:t xml:space="preserve">Tallinna Tehnikaülikooli </w:t>
      </w:r>
      <w:r w:rsidR="00576B64" w:rsidRPr="00AF2236">
        <w:t>seaduse § 5 lg 3 punkti 1</w:t>
      </w:r>
      <w:r w:rsidR="00A20B20" w:rsidRPr="00AF2236">
        <w:t xml:space="preserve"> alusel</w:t>
      </w:r>
      <w:r w:rsidRPr="00AF2236">
        <w:t>.</w:t>
      </w:r>
    </w:p>
    <w:p w14:paraId="6940D250" w14:textId="7C6FF915" w:rsidR="0031245F" w:rsidRPr="00AF2236" w:rsidRDefault="0031245F" w:rsidP="003359E5">
      <w:pPr>
        <w:pStyle w:val="Heading1"/>
        <w:rPr>
          <w:szCs w:val="20"/>
        </w:rPr>
      </w:pPr>
      <w:r w:rsidRPr="00AF2236">
        <w:rPr>
          <w:szCs w:val="20"/>
        </w:rPr>
        <w:br/>
      </w:r>
      <w:r w:rsidR="007A5486" w:rsidRPr="00AF2236">
        <w:rPr>
          <w:szCs w:val="20"/>
        </w:rPr>
        <w:t>ÜLDSÄTTED</w:t>
      </w:r>
    </w:p>
    <w:p w14:paraId="03EB6802" w14:textId="77777777" w:rsidR="007A5486" w:rsidRPr="00AF2236" w:rsidRDefault="007A5486" w:rsidP="007A5486">
      <w:pPr>
        <w:pStyle w:val="Loetelum"/>
        <w:numPr>
          <w:ilvl w:val="0"/>
          <w:numId w:val="4"/>
        </w:numPr>
        <w:ind w:left="0"/>
        <w:rPr>
          <w:rFonts w:asciiTheme="minorHAnsi" w:hAnsiTheme="minorHAnsi"/>
          <w:szCs w:val="22"/>
        </w:rPr>
      </w:pPr>
      <w:r w:rsidRPr="00AF2236">
        <w:rPr>
          <w:rFonts w:asciiTheme="minorHAnsi" w:hAnsiTheme="minorHAnsi"/>
          <w:szCs w:val="22"/>
        </w:rPr>
        <w:t>Ülesanne</w:t>
      </w:r>
    </w:p>
    <w:p w14:paraId="7901CF9E" w14:textId="77777777" w:rsidR="007A5486" w:rsidRPr="00AF2236" w:rsidRDefault="007A5486" w:rsidP="007A5486">
      <w:pPr>
        <w:pStyle w:val="Bodym"/>
        <w:numPr>
          <w:ilvl w:val="0"/>
          <w:numId w:val="0"/>
        </w:numPr>
        <w:rPr>
          <w:rFonts w:asciiTheme="minorHAnsi" w:hAnsiTheme="minorHAnsi"/>
          <w:szCs w:val="22"/>
        </w:rPr>
      </w:pPr>
      <w:r w:rsidRPr="00AF2236">
        <w:rPr>
          <w:rFonts w:asciiTheme="minorHAnsi" w:hAnsiTheme="minorHAnsi"/>
          <w:szCs w:val="22"/>
        </w:rPr>
        <w:t xml:space="preserve">Õppekava statuudiga (edaspidi </w:t>
      </w:r>
      <w:r w:rsidRPr="00AF2236">
        <w:rPr>
          <w:rFonts w:asciiTheme="minorHAnsi" w:hAnsiTheme="minorHAnsi"/>
          <w:i/>
          <w:iCs/>
          <w:szCs w:val="22"/>
        </w:rPr>
        <w:t>statuut</w:t>
      </w:r>
      <w:r w:rsidRPr="00AF2236">
        <w:rPr>
          <w:rFonts w:asciiTheme="minorHAnsi" w:hAnsiTheme="minorHAnsi"/>
          <w:szCs w:val="22"/>
        </w:rPr>
        <w:t>) sätestatakse Tallinna Tehnikaülikooli (edaspidi</w:t>
      </w:r>
      <w:r w:rsidRPr="00AF2236">
        <w:rPr>
          <w:rFonts w:asciiTheme="minorHAnsi" w:hAnsiTheme="minorHAnsi"/>
          <w:i/>
          <w:iCs/>
          <w:szCs w:val="22"/>
        </w:rPr>
        <w:t xml:space="preserve"> ülikool</w:t>
      </w:r>
      <w:r w:rsidRPr="00AF2236">
        <w:rPr>
          <w:rFonts w:asciiTheme="minorHAnsi" w:hAnsiTheme="minorHAnsi"/>
          <w:szCs w:val="22"/>
        </w:rPr>
        <w:t>) tasemeõppe õppekavade ülesehituse, koostamise, avamise, hindamise, muutmise ning sulgemise tingimused ja kord.</w:t>
      </w:r>
    </w:p>
    <w:p w14:paraId="5586D7C2" w14:textId="77777777" w:rsidR="007A5486" w:rsidRPr="00AF2236" w:rsidRDefault="007A5486" w:rsidP="007A5486">
      <w:pPr>
        <w:pStyle w:val="Loetelum"/>
        <w:numPr>
          <w:ilvl w:val="0"/>
          <w:numId w:val="4"/>
        </w:numPr>
        <w:ind w:left="0"/>
        <w:rPr>
          <w:rFonts w:asciiTheme="minorHAnsi" w:hAnsiTheme="minorHAnsi"/>
          <w:szCs w:val="22"/>
        </w:rPr>
      </w:pPr>
      <w:r w:rsidRPr="00AF2236">
        <w:rPr>
          <w:rFonts w:asciiTheme="minorHAnsi" w:hAnsiTheme="minorHAnsi"/>
          <w:szCs w:val="22"/>
        </w:rPr>
        <w:t>Õppekava ja selle ülesehitus</w:t>
      </w:r>
    </w:p>
    <w:p w14:paraId="311014F4"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Õppetöö toimub õppekava alusel.</w:t>
      </w:r>
    </w:p>
    <w:p w14:paraId="5100A88F"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Õppekava on kõrgharidustaseme õppe alus, millega kinnitatakse õppe eesmärgid, õpiväljundid, õppe nominaalkestus ja -maht, õppekeel, õppe alustamise tingimused, õppeainete loetelu, spetsialiseerumisvõimalused ning õppe lõpetamise tingimused.</w:t>
      </w:r>
    </w:p>
    <w:p w14:paraId="214F6093"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szCs w:val="22"/>
        </w:rPr>
        <w:t xml:space="preserve">Koostöölepingu alusel toimivad õppekavad on ühisõppekava ja </w:t>
      </w:r>
      <w:proofErr w:type="spellStart"/>
      <w:r w:rsidRPr="00AF2236">
        <w:rPr>
          <w:rFonts w:asciiTheme="minorHAnsi" w:hAnsiTheme="minorHAnsi"/>
          <w:szCs w:val="22"/>
        </w:rPr>
        <w:t>topeltkraadikava</w:t>
      </w:r>
      <w:proofErr w:type="spellEnd"/>
      <w:r w:rsidRPr="00AF2236">
        <w:rPr>
          <w:rFonts w:asciiTheme="minorHAnsi" w:hAnsiTheme="minorHAnsi"/>
          <w:szCs w:val="22"/>
        </w:rPr>
        <w:t>. Koostöölepingus lepivad pooled kokku vähemalt õppekava täies mahus täitnule antava kraadi nimetuses, õppekava juhtimise ja rahastamise küsimustes (nt õppemaks, kulude ja tulude jaotus partnerite vahel), üliõpilaste vastuvõtu ja valikuprotseduurides, üliõpilaste ja õppejõudude mobiilsuse ning õppekorralduslikes küsimustes (eksamikorraldus, hindamine, ainepunktide tunnustamine, kraadide väljastamine).</w:t>
      </w:r>
    </w:p>
    <w:p w14:paraId="7D38AD15" w14:textId="77777777" w:rsidR="007A5486" w:rsidRPr="00AF2236" w:rsidRDefault="007A5486" w:rsidP="007A5486">
      <w:pPr>
        <w:pStyle w:val="Bodym1"/>
        <w:numPr>
          <w:ilvl w:val="2"/>
          <w:numId w:val="4"/>
        </w:numPr>
        <w:rPr>
          <w:rFonts w:asciiTheme="minorHAnsi" w:hAnsiTheme="minorHAnsi" w:cstheme="minorHAnsi"/>
          <w:sz w:val="20"/>
        </w:rPr>
      </w:pPr>
      <w:r w:rsidRPr="00AF2236">
        <w:rPr>
          <w:rFonts w:asciiTheme="minorHAnsi" w:hAnsiTheme="minorHAnsi" w:cstheme="minorHAnsi"/>
        </w:rPr>
        <w:t>Ühisõppekava on ülikooli ja ühe või enama kõrgkooli ühiselt välja töötatud ning ühiselt hallatav õppekava koostöölepingu alusel. Ühisõppekava osad ja õppemahud võivad erineda statuudi § 3 lõikes 3 kehtestatud õppekava osadest ja õppe miinimummahtudest. Ühisõppekava avamine, muutmine ja sulgemine toimub vastavalt statuudile, kui koostöölepingus ei ole poolte vahel kokku lepitud teisiti.</w:t>
      </w:r>
    </w:p>
    <w:p w14:paraId="0254FBFD" w14:textId="77777777" w:rsidR="007A5486" w:rsidRPr="00AF2236" w:rsidRDefault="007A5486" w:rsidP="007A5486">
      <w:pPr>
        <w:pStyle w:val="Bodym1"/>
        <w:numPr>
          <w:ilvl w:val="2"/>
          <w:numId w:val="4"/>
        </w:numPr>
        <w:rPr>
          <w:rFonts w:asciiTheme="minorHAnsi" w:eastAsiaTheme="minorEastAsia" w:hAnsiTheme="minorHAnsi" w:cstheme="minorHAnsi"/>
          <w:sz w:val="20"/>
        </w:rPr>
      </w:pPr>
      <w:r w:rsidRPr="00AF2236">
        <w:rPr>
          <w:rFonts w:asciiTheme="minorHAnsi" w:hAnsiTheme="minorHAnsi" w:cstheme="minorHAnsi"/>
        </w:rPr>
        <w:t xml:space="preserve">Ühisõppekava täies mahus täitnule antakse ülikooli ja teise Eesti kõrgkooli vahelise ühisõppekava korral </w:t>
      </w:r>
      <w:proofErr w:type="spellStart"/>
      <w:r w:rsidRPr="00AF2236">
        <w:rPr>
          <w:rFonts w:asciiTheme="minorHAnsi" w:hAnsiTheme="minorHAnsi" w:cstheme="minorHAnsi"/>
        </w:rPr>
        <w:t>ühisdiplom</w:t>
      </w:r>
      <w:proofErr w:type="spellEnd"/>
      <w:r w:rsidRPr="00AF2236">
        <w:rPr>
          <w:rFonts w:asciiTheme="minorHAnsi" w:hAnsiTheme="minorHAnsi" w:cstheme="minorHAnsi"/>
        </w:rPr>
        <w:t xml:space="preserve"> ning ülikooli ja </w:t>
      </w:r>
      <w:proofErr w:type="spellStart"/>
      <w:r w:rsidRPr="00AF2236">
        <w:rPr>
          <w:rFonts w:asciiTheme="minorHAnsi" w:hAnsiTheme="minorHAnsi" w:cstheme="minorHAnsi"/>
        </w:rPr>
        <w:t>väliskõrgkooli</w:t>
      </w:r>
      <w:proofErr w:type="spellEnd"/>
      <w:r w:rsidRPr="00AF2236">
        <w:rPr>
          <w:rFonts w:asciiTheme="minorHAnsi" w:hAnsiTheme="minorHAnsi" w:cstheme="minorHAnsi"/>
        </w:rPr>
        <w:t xml:space="preserve"> ühisõppekava korral ülikooli ning ühisõppekava partnerkõrgkoolide lõpudokumendid.</w:t>
      </w:r>
    </w:p>
    <w:p w14:paraId="1153C80B" w14:textId="5F18187A" w:rsidR="007A5486" w:rsidRPr="00AF2236" w:rsidRDefault="007A5486" w:rsidP="007A5486">
      <w:pPr>
        <w:pStyle w:val="Bodym1"/>
        <w:numPr>
          <w:ilvl w:val="2"/>
          <w:numId w:val="4"/>
        </w:numPr>
        <w:rPr>
          <w:rFonts w:asciiTheme="minorHAnsi" w:eastAsiaTheme="minorEastAsia" w:hAnsiTheme="minorHAnsi" w:cstheme="minorHAnsi"/>
          <w:sz w:val="20"/>
        </w:rPr>
      </w:pPr>
      <w:proofErr w:type="spellStart"/>
      <w:r w:rsidRPr="00AF2236">
        <w:rPr>
          <w:rFonts w:asciiTheme="minorHAnsi" w:hAnsiTheme="minorHAnsi" w:cstheme="minorHAnsi"/>
        </w:rPr>
        <w:t>Topeltkraadikava</w:t>
      </w:r>
      <w:proofErr w:type="spellEnd"/>
      <w:r w:rsidRPr="00AF2236">
        <w:rPr>
          <w:rFonts w:asciiTheme="minorHAnsi" w:hAnsiTheme="minorHAnsi" w:cstheme="minorHAnsi"/>
        </w:rPr>
        <w:t xml:space="preserve"> on õppekava, millel võib toimuda muu hulgas õpe kahe või enama kõrgkooli vahelise koostöölepingu alusel. </w:t>
      </w:r>
      <w:r w:rsidR="000B146F" w:rsidRPr="00AF2236">
        <w:rPr>
          <w:rFonts w:asciiTheme="minorHAnsi" w:hAnsiTheme="minorHAnsi" w:cstheme="minorHAnsi"/>
        </w:rPr>
        <w:t>Koostöölepingu sõlmimise eeldus on sarnaste õppeainetega õppekavad, mille täies mahus täitnule antakse kaks või enam lõpudokumenti, mida tunnustatakse ametlikult riikides, kus lõpudokumendid väljastanud kõrgkoolid paiknevad. [jõustunud 01.01.2026]</w:t>
      </w:r>
    </w:p>
    <w:p w14:paraId="562E0B24" w14:textId="77777777" w:rsidR="007A5486" w:rsidRPr="00AF2236" w:rsidRDefault="007A5486" w:rsidP="007A5486">
      <w:pPr>
        <w:pStyle w:val="Bodym"/>
        <w:numPr>
          <w:ilvl w:val="1"/>
          <w:numId w:val="4"/>
        </w:numPr>
        <w:rPr>
          <w:rFonts w:asciiTheme="minorHAnsi" w:hAnsiTheme="minorHAnsi" w:cstheme="minorHAnsi"/>
          <w:szCs w:val="22"/>
        </w:rPr>
      </w:pPr>
      <w:r w:rsidRPr="00AF2236">
        <w:rPr>
          <w:rFonts w:asciiTheme="minorHAnsi" w:hAnsiTheme="minorHAnsi" w:cstheme="minorBidi"/>
          <w:szCs w:val="22"/>
        </w:rPr>
        <w:t>Õppekava nominaalkestus on õppekava läbimiseks kehtestatud aeg.</w:t>
      </w:r>
    </w:p>
    <w:p w14:paraId="3F6E36F3"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 xml:space="preserve">Õppekava koosneb õppeainetest. Õppeained on rühmitatud mooduliteks, mis koondavad õppeained eesmärgistatud kogumiks või mis koosnevad ühest õppeainest. </w:t>
      </w:r>
    </w:p>
    <w:p w14:paraId="023EDE13"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 xml:space="preserve">Õppekava, mooduli ja õppeaine mahtu arvestatakse õppetöö ühikutes ehk Euroopa ainepunktisüsteemi ainepunktides (edaspidi </w:t>
      </w:r>
      <w:r w:rsidRPr="00AF2236">
        <w:rPr>
          <w:rFonts w:asciiTheme="minorHAnsi" w:hAnsiTheme="minorHAnsi" w:cstheme="minorBidi"/>
          <w:i/>
          <w:iCs/>
          <w:szCs w:val="22"/>
        </w:rPr>
        <w:t>EAP</w:t>
      </w:r>
      <w:r w:rsidRPr="00AF2236">
        <w:rPr>
          <w:rFonts w:asciiTheme="minorHAnsi" w:hAnsiTheme="minorHAnsi" w:cstheme="minorBidi"/>
          <w:szCs w:val="22"/>
        </w:rPr>
        <w:t>). 1 EAP vastab arvestuslikult 26 tunnile õppija õppetööle.</w:t>
      </w:r>
    </w:p>
    <w:p w14:paraId="40DA318E"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Õppeaine maht on üldjuhul 6 EAP-</w:t>
      </w:r>
      <w:proofErr w:type="spellStart"/>
      <w:r w:rsidRPr="00AF2236">
        <w:rPr>
          <w:rFonts w:asciiTheme="minorHAnsi" w:hAnsiTheme="minorHAnsi" w:cstheme="minorBidi"/>
          <w:szCs w:val="22"/>
        </w:rPr>
        <w:t>d.</w:t>
      </w:r>
      <w:proofErr w:type="spellEnd"/>
    </w:p>
    <w:p w14:paraId="0DABE657" w14:textId="753C27F8"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 xml:space="preserve">Õppekaval võib olla üks või enam peaeriala ehk spetsialiseerumist. </w:t>
      </w:r>
      <w:r w:rsidR="000B146F" w:rsidRPr="00AF2236">
        <w:rPr>
          <w:rFonts w:asciiTheme="minorHAnsi" w:hAnsiTheme="minorHAnsi" w:cstheme="minorBidi"/>
          <w:szCs w:val="22"/>
        </w:rPr>
        <w:t>Peaeriala on omandatud erialaste teadmiste, oskuste ja hoiakute kogum, mis võimaldab asuda tööle vastaval erialal ja jätkata õpinguid järgmisel õppeastmel samal või lähedasel õppekaval</w:t>
      </w:r>
      <w:r w:rsidRPr="00AF2236">
        <w:rPr>
          <w:rFonts w:asciiTheme="minorHAnsi" w:hAnsiTheme="minorHAnsi" w:cstheme="minorBidi"/>
          <w:szCs w:val="22"/>
        </w:rPr>
        <w:t>.</w:t>
      </w:r>
      <w:r w:rsidR="000B146F" w:rsidRPr="00AF2236">
        <w:rPr>
          <w:rFonts w:asciiTheme="minorHAnsi" w:hAnsiTheme="minorHAnsi" w:cstheme="minorBidi"/>
          <w:szCs w:val="22"/>
        </w:rPr>
        <w:t xml:space="preserve"> [jõustunud 01.01.2026]</w:t>
      </w:r>
    </w:p>
    <w:p w14:paraId="16B0423E" w14:textId="129D2441"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 xml:space="preserve">Õppekava õppeainetest võib moodustada ühe või mitu </w:t>
      </w:r>
      <w:proofErr w:type="spellStart"/>
      <w:r w:rsidRPr="00AF2236">
        <w:rPr>
          <w:rFonts w:asciiTheme="minorHAnsi" w:hAnsiTheme="minorHAnsi" w:cstheme="minorBidi"/>
          <w:szCs w:val="22"/>
        </w:rPr>
        <w:t>kõrvaleriala</w:t>
      </w:r>
      <w:proofErr w:type="spellEnd"/>
      <w:r w:rsidRPr="00AF2236">
        <w:rPr>
          <w:rFonts w:asciiTheme="minorHAnsi" w:hAnsiTheme="minorHAnsi" w:cstheme="minorBidi"/>
          <w:szCs w:val="22"/>
        </w:rPr>
        <w:t xml:space="preserve">. </w:t>
      </w:r>
      <w:proofErr w:type="spellStart"/>
      <w:r w:rsidR="000B146F" w:rsidRPr="00AF2236">
        <w:rPr>
          <w:rFonts w:asciiTheme="minorHAnsi" w:hAnsiTheme="minorHAnsi" w:cstheme="minorBidi"/>
          <w:szCs w:val="22"/>
        </w:rPr>
        <w:t>Kõrvaleriala</w:t>
      </w:r>
      <w:proofErr w:type="spellEnd"/>
      <w:r w:rsidR="000B146F" w:rsidRPr="00AF2236">
        <w:rPr>
          <w:rFonts w:asciiTheme="minorHAnsi" w:hAnsiTheme="minorHAnsi" w:cstheme="minorBidi"/>
          <w:szCs w:val="22"/>
        </w:rPr>
        <w:t xml:space="preserve"> on omandatud erialaste alusteadmiste, -oskuste ja hoiakute kogum, mis võimaldab selle valinud üliõpilasel omandada täiendavaid pädevusi vastaval erialal tööle asumiseks või õpingute jätkamiseks järgmisel õppeastmel.</w:t>
      </w:r>
      <w:r w:rsidRPr="00AF2236">
        <w:rPr>
          <w:rFonts w:asciiTheme="minorHAnsi" w:hAnsiTheme="minorHAnsi" w:cstheme="minorBidi"/>
          <w:szCs w:val="22"/>
        </w:rPr>
        <w:t xml:space="preserve"> </w:t>
      </w:r>
      <w:proofErr w:type="spellStart"/>
      <w:r w:rsidRPr="00AF2236">
        <w:rPr>
          <w:rFonts w:asciiTheme="minorHAnsi" w:hAnsiTheme="minorHAnsi" w:cstheme="minorBidi"/>
          <w:szCs w:val="22"/>
        </w:rPr>
        <w:t>Kõrvaleriala</w:t>
      </w:r>
      <w:proofErr w:type="spellEnd"/>
      <w:r w:rsidRPr="00AF2236">
        <w:rPr>
          <w:rFonts w:asciiTheme="minorHAnsi" w:hAnsiTheme="minorHAnsi" w:cstheme="minorBidi"/>
          <w:szCs w:val="22"/>
        </w:rPr>
        <w:t xml:space="preserve"> maht esimesel ja teisel kõrgharidusastmel on vähemalt 45 EAP-</w:t>
      </w:r>
      <w:proofErr w:type="spellStart"/>
      <w:r w:rsidRPr="00AF2236">
        <w:rPr>
          <w:rFonts w:asciiTheme="minorHAnsi" w:hAnsiTheme="minorHAnsi" w:cstheme="minorBidi"/>
          <w:szCs w:val="22"/>
        </w:rPr>
        <w:t>d.</w:t>
      </w:r>
      <w:proofErr w:type="spellEnd"/>
      <w:r w:rsidRPr="00AF2236">
        <w:rPr>
          <w:rFonts w:asciiTheme="minorHAnsi" w:hAnsiTheme="minorHAnsi" w:cstheme="minorBidi"/>
          <w:szCs w:val="22"/>
        </w:rPr>
        <w:t xml:space="preserve"> Juhul kui </w:t>
      </w:r>
      <w:proofErr w:type="spellStart"/>
      <w:r w:rsidRPr="00AF2236">
        <w:rPr>
          <w:rFonts w:asciiTheme="minorHAnsi" w:hAnsiTheme="minorHAnsi" w:cstheme="minorBidi"/>
          <w:szCs w:val="22"/>
        </w:rPr>
        <w:t>kõrvalerialal</w:t>
      </w:r>
      <w:proofErr w:type="spellEnd"/>
      <w:r w:rsidRPr="00AF2236">
        <w:rPr>
          <w:rFonts w:asciiTheme="minorHAnsi" w:hAnsiTheme="minorHAnsi" w:cstheme="minorBidi"/>
          <w:szCs w:val="22"/>
        </w:rPr>
        <w:t xml:space="preserve"> on õppeaineid, mis sisalduvad ka üliõpilase õppekavas, arvestatakse neid nii </w:t>
      </w:r>
      <w:proofErr w:type="spellStart"/>
      <w:r w:rsidRPr="00AF2236">
        <w:rPr>
          <w:rFonts w:asciiTheme="minorHAnsi" w:hAnsiTheme="minorHAnsi" w:cstheme="minorBidi"/>
          <w:szCs w:val="22"/>
        </w:rPr>
        <w:t>kõrvaleriala</w:t>
      </w:r>
      <w:proofErr w:type="spellEnd"/>
      <w:r w:rsidRPr="00AF2236">
        <w:rPr>
          <w:rFonts w:asciiTheme="minorHAnsi" w:hAnsiTheme="minorHAnsi" w:cstheme="minorBidi"/>
          <w:szCs w:val="22"/>
        </w:rPr>
        <w:t xml:space="preserve"> kui ka õppekava täitmisel.</w:t>
      </w:r>
      <w:r w:rsidR="000B146F" w:rsidRPr="00AF2236">
        <w:rPr>
          <w:rFonts w:asciiTheme="minorHAnsi" w:hAnsiTheme="minorHAnsi" w:cstheme="minorBidi"/>
          <w:szCs w:val="22"/>
        </w:rPr>
        <w:t xml:space="preserve"> [jõustunud 01.01.2026]</w:t>
      </w:r>
    </w:p>
    <w:p w14:paraId="02EA0591" w14:textId="77777777" w:rsidR="007A5486" w:rsidRPr="00AF2236" w:rsidRDefault="007A5486" w:rsidP="007A5486">
      <w:pPr>
        <w:pStyle w:val="Bodym"/>
        <w:numPr>
          <w:ilvl w:val="1"/>
          <w:numId w:val="4"/>
        </w:numPr>
        <w:rPr>
          <w:rFonts w:asciiTheme="minorHAnsi" w:hAnsiTheme="minorHAnsi" w:cstheme="minorHAnsi"/>
          <w:szCs w:val="22"/>
        </w:rPr>
      </w:pPr>
      <w:r w:rsidRPr="00AF2236">
        <w:rPr>
          <w:rFonts w:asciiTheme="minorHAnsi" w:hAnsiTheme="minorHAnsi" w:cstheme="minorBidi"/>
          <w:szCs w:val="22"/>
        </w:rPr>
        <w:lastRenderedPageBreak/>
        <w:t>Õppekavad ja nende õppe nominaalkestus ning -maht on järgmised:</w:t>
      </w:r>
    </w:p>
    <w:tbl>
      <w:tblPr>
        <w:tblStyle w:val="TableGrid"/>
        <w:tblW w:w="0" w:type="auto"/>
        <w:tblLook w:val="04A0" w:firstRow="1" w:lastRow="0" w:firstColumn="1" w:lastColumn="0" w:noHBand="0" w:noVBand="1"/>
      </w:tblPr>
      <w:tblGrid>
        <w:gridCol w:w="4248"/>
        <w:gridCol w:w="2410"/>
        <w:gridCol w:w="2686"/>
      </w:tblGrid>
      <w:tr w:rsidR="00AF2236" w:rsidRPr="00AF2236" w14:paraId="574A84C8" w14:textId="77777777" w:rsidTr="00FA2C95">
        <w:tc>
          <w:tcPr>
            <w:tcW w:w="4248" w:type="dxa"/>
            <w:vAlign w:val="center"/>
          </w:tcPr>
          <w:p w14:paraId="66E43243" w14:textId="77777777" w:rsidR="007A5486" w:rsidRPr="00AF2236" w:rsidRDefault="007A5486" w:rsidP="00FA2C95">
            <w:pPr>
              <w:pStyle w:val="Bodym"/>
              <w:numPr>
                <w:ilvl w:val="0"/>
                <w:numId w:val="0"/>
              </w:numPr>
              <w:jc w:val="center"/>
              <w:rPr>
                <w:rFonts w:asciiTheme="minorHAnsi" w:hAnsiTheme="minorHAnsi" w:cstheme="minorBidi"/>
                <w:szCs w:val="22"/>
              </w:rPr>
            </w:pPr>
            <w:r w:rsidRPr="00AF2236">
              <w:rPr>
                <w:rFonts w:asciiTheme="minorHAnsi" w:hAnsiTheme="minorHAnsi" w:cstheme="minorBidi"/>
                <w:szCs w:val="22"/>
              </w:rPr>
              <w:t>Õpe</w:t>
            </w:r>
          </w:p>
        </w:tc>
        <w:tc>
          <w:tcPr>
            <w:tcW w:w="2410" w:type="dxa"/>
            <w:vAlign w:val="center"/>
          </w:tcPr>
          <w:p w14:paraId="5B692316"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Õppemaht EAP*</w:t>
            </w:r>
          </w:p>
        </w:tc>
        <w:tc>
          <w:tcPr>
            <w:tcW w:w="2686" w:type="dxa"/>
            <w:vAlign w:val="center"/>
          </w:tcPr>
          <w:p w14:paraId="6B73DF4D" w14:textId="77777777" w:rsidR="007A5486" w:rsidRPr="00AF2236" w:rsidRDefault="007A5486" w:rsidP="00FA2C95">
            <w:pPr>
              <w:pStyle w:val="Bodym"/>
              <w:numPr>
                <w:ilvl w:val="1"/>
                <w:numId w:val="0"/>
              </w:numPr>
              <w:jc w:val="center"/>
              <w:rPr>
                <w:rFonts w:asciiTheme="minorHAnsi" w:hAnsiTheme="minorHAnsi" w:cstheme="minorBidi"/>
                <w:szCs w:val="22"/>
              </w:rPr>
            </w:pPr>
            <w:r w:rsidRPr="00AF2236">
              <w:rPr>
                <w:rFonts w:asciiTheme="minorHAnsi" w:hAnsiTheme="minorHAnsi" w:cstheme="minorBidi"/>
                <w:szCs w:val="22"/>
              </w:rPr>
              <w:t>Õppe nominaalkestus õppeaastates</w:t>
            </w:r>
          </w:p>
        </w:tc>
      </w:tr>
      <w:tr w:rsidR="00AF2236" w:rsidRPr="00AF2236" w14:paraId="740CC24F" w14:textId="77777777" w:rsidTr="00FA2C95">
        <w:tc>
          <w:tcPr>
            <w:tcW w:w="4248" w:type="dxa"/>
          </w:tcPr>
          <w:p w14:paraId="60D4D794" w14:textId="77777777" w:rsidR="007A5486" w:rsidRPr="00AF2236" w:rsidRDefault="007A5486" w:rsidP="00FA2C95">
            <w:pPr>
              <w:pStyle w:val="Bodym"/>
              <w:numPr>
                <w:ilvl w:val="0"/>
                <w:numId w:val="0"/>
              </w:numPr>
              <w:rPr>
                <w:rFonts w:asciiTheme="minorHAnsi" w:hAnsiTheme="minorHAnsi" w:cstheme="minorHAnsi"/>
                <w:szCs w:val="22"/>
              </w:rPr>
            </w:pPr>
            <w:r w:rsidRPr="00AF2236">
              <w:rPr>
                <w:rFonts w:asciiTheme="minorHAnsi" w:hAnsiTheme="minorHAnsi" w:cstheme="minorHAnsi"/>
                <w:szCs w:val="22"/>
              </w:rPr>
              <w:t>bakalaureuseõpe</w:t>
            </w:r>
          </w:p>
        </w:tc>
        <w:tc>
          <w:tcPr>
            <w:tcW w:w="2410" w:type="dxa"/>
          </w:tcPr>
          <w:p w14:paraId="605F2A52" w14:textId="77777777" w:rsidR="007A5486" w:rsidRPr="00AF2236" w:rsidRDefault="007A5486" w:rsidP="00FA2C95">
            <w:pPr>
              <w:pStyle w:val="Bodym"/>
              <w:numPr>
                <w:ilvl w:val="1"/>
                <w:numId w:val="0"/>
              </w:numPr>
              <w:jc w:val="center"/>
              <w:rPr>
                <w:rFonts w:asciiTheme="minorHAnsi" w:hAnsiTheme="minorHAnsi" w:cstheme="minorBidi"/>
                <w:szCs w:val="22"/>
              </w:rPr>
            </w:pPr>
            <w:r w:rsidRPr="00AF2236">
              <w:rPr>
                <w:rFonts w:asciiTheme="minorHAnsi" w:hAnsiTheme="minorHAnsi" w:cstheme="minorBidi"/>
                <w:szCs w:val="22"/>
              </w:rPr>
              <w:t>180</w:t>
            </w:r>
          </w:p>
        </w:tc>
        <w:tc>
          <w:tcPr>
            <w:tcW w:w="2686" w:type="dxa"/>
          </w:tcPr>
          <w:p w14:paraId="3DE778A9" w14:textId="77777777" w:rsidR="007A5486" w:rsidRPr="00AF2236" w:rsidRDefault="007A5486" w:rsidP="00FA2C95">
            <w:pPr>
              <w:pStyle w:val="Bodym"/>
              <w:numPr>
                <w:ilvl w:val="1"/>
                <w:numId w:val="0"/>
              </w:numPr>
              <w:jc w:val="center"/>
              <w:rPr>
                <w:rFonts w:asciiTheme="minorHAnsi" w:hAnsiTheme="minorHAnsi" w:cstheme="minorBidi"/>
                <w:szCs w:val="22"/>
              </w:rPr>
            </w:pPr>
            <w:r w:rsidRPr="00AF2236">
              <w:rPr>
                <w:rFonts w:asciiTheme="minorHAnsi" w:hAnsiTheme="minorHAnsi" w:cstheme="minorBidi"/>
                <w:szCs w:val="22"/>
              </w:rPr>
              <w:t>3</w:t>
            </w:r>
          </w:p>
        </w:tc>
      </w:tr>
      <w:tr w:rsidR="00AF2236" w:rsidRPr="00AF2236" w14:paraId="5362132E" w14:textId="77777777" w:rsidTr="00FA2C95">
        <w:tc>
          <w:tcPr>
            <w:tcW w:w="4248" w:type="dxa"/>
          </w:tcPr>
          <w:p w14:paraId="28874584" w14:textId="77777777" w:rsidR="007A5486" w:rsidRPr="00AF2236" w:rsidRDefault="007A5486" w:rsidP="00FA2C95">
            <w:pPr>
              <w:pStyle w:val="Bodym"/>
              <w:numPr>
                <w:ilvl w:val="0"/>
                <w:numId w:val="0"/>
              </w:numPr>
              <w:rPr>
                <w:rFonts w:asciiTheme="minorHAnsi" w:hAnsiTheme="minorHAnsi" w:cstheme="minorHAnsi"/>
                <w:szCs w:val="22"/>
              </w:rPr>
            </w:pPr>
            <w:r w:rsidRPr="00AF2236">
              <w:rPr>
                <w:rFonts w:asciiTheme="minorHAnsi" w:hAnsiTheme="minorHAnsi" w:cstheme="minorHAnsi"/>
                <w:szCs w:val="22"/>
              </w:rPr>
              <w:t>rakenduskõrgharidusõpe</w:t>
            </w:r>
          </w:p>
        </w:tc>
        <w:tc>
          <w:tcPr>
            <w:tcW w:w="2410" w:type="dxa"/>
          </w:tcPr>
          <w:p w14:paraId="68829352"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180–240</w:t>
            </w:r>
          </w:p>
        </w:tc>
        <w:tc>
          <w:tcPr>
            <w:tcW w:w="2686" w:type="dxa"/>
          </w:tcPr>
          <w:p w14:paraId="745A9DBB"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3–4</w:t>
            </w:r>
          </w:p>
        </w:tc>
      </w:tr>
      <w:tr w:rsidR="00AF2236" w:rsidRPr="00AF2236" w14:paraId="4E937D7A" w14:textId="77777777" w:rsidTr="00FA2C95">
        <w:tc>
          <w:tcPr>
            <w:tcW w:w="4248" w:type="dxa"/>
          </w:tcPr>
          <w:p w14:paraId="7486BC7A" w14:textId="77777777" w:rsidR="007A5486" w:rsidRPr="00AF2236" w:rsidRDefault="007A5486" w:rsidP="00FA2C95">
            <w:pPr>
              <w:pStyle w:val="Bodym"/>
              <w:numPr>
                <w:ilvl w:val="0"/>
                <w:numId w:val="0"/>
              </w:numPr>
              <w:rPr>
                <w:rStyle w:val="FootnoteReference"/>
                <w:rFonts w:asciiTheme="minorHAnsi" w:hAnsiTheme="minorHAnsi" w:cstheme="minorBidi"/>
                <w:szCs w:val="22"/>
              </w:rPr>
            </w:pPr>
            <w:r w:rsidRPr="00AF2236">
              <w:rPr>
                <w:rFonts w:asciiTheme="minorHAnsi" w:hAnsiTheme="minorHAnsi" w:cstheme="minorBidi"/>
                <w:szCs w:val="22"/>
              </w:rPr>
              <w:t>integreeritud bakalaureuse- ja magistriõpe</w:t>
            </w:r>
          </w:p>
        </w:tc>
        <w:tc>
          <w:tcPr>
            <w:tcW w:w="2410" w:type="dxa"/>
          </w:tcPr>
          <w:p w14:paraId="6FF97C51"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300</w:t>
            </w:r>
          </w:p>
        </w:tc>
        <w:tc>
          <w:tcPr>
            <w:tcW w:w="2686" w:type="dxa"/>
          </w:tcPr>
          <w:p w14:paraId="51233420"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5</w:t>
            </w:r>
          </w:p>
        </w:tc>
      </w:tr>
      <w:tr w:rsidR="00AF2236" w:rsidRPr="00AF2236" w14:paraId="10EFCED0" w14:textId="77777777" w:rsidTr="00FA2C95">
        <w:tc>
          <w:tcPr>
            <w:tcW w:w="4248" w:type="dxa"/>
          </w:tcPr>
          <w:p w14:paraId="0B418099" w14:textId="77777777" w:rsidR="007A5486" w:rsidRPr="00AF2236" w:rsidRDefault="007A5486" w:rsidP="00FA2C95">
            <w:pPr>
              <w:pStyle w:val="Bodym"/>
              <w:numPr>
                <w:ilvl w:val="0"/>
                <w:numId w:val="0"/>
              </w:numPr>
              <w:rPr>
                <w:rFonts w:asciiTheme="minorHAnsi" w:hAnsiTheme="minorHAnsi" w:cstheme="minorHAnsi"/>
                <w:szCs w:val="22"/>
              </w:rPr>
            </w:pPr>
            <w:r w:rsidRPr="00AF2236">
              <w:rPr>
                <w:rFonts w:asciiTheme="minorHAnsi" w:hAnsiTheme="minorHAnsi" w:cstheme="minorHAnsi"/>
                <w:szCs w:val="22"/>
              </w:rPr>
              <w:t>magistriõpe</w:t>
            </w:r>
          </w:p>
        </w:tc>
        <w:tc>
          <w:tcPr>
            <w:tcW w:w="2410" w:type="dxa"/>
          </w:tcPr>
          <w:p w14:paraId="6AEF27CD"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60–120</w:t>
            </w:r>
          </w:p>
        </w:tc>
        <w:tc>
          <w:tcPr>
            <w:tcW w:w="2686" w:type="dxa"/>
          </w:tcPr>
          <w:p w14:paraId="73D6C27B"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HAnsi"/>
                <w:szCs w:val="22"/>
              </w:rPr>
              <w:t>1–2</w:t>
            </w:r>
          </w:p>
        </w:tc>
      </w:tr>
      <w:tr w:rsidR="00AF2236" w:rsidRPr="00AF2236" w14:paraId="516C50D0" w14:textId="77777777" w:rsidTr="00FA2C95">
        <w:tc>
          <w:tcPr>
            <w:tcW w:w="4248" w:type="dxa"/>
          </w:tcPr>
          <w:p w14:paraId="5ADDCB37" w14:textId="77777777" w:rsidR="007A5486" w:rsidRPr="00AF2236" w:rsidRDefault="007A5486" w:rsidP="00FA2C95">
            <w:pPr>
              <w:pStyle w:val="Bodym"/>
              <w:numPr>
                <w:ilvl w:val="0"/>
                <w:numId w:val="0"/>
              </w:numPr>
              <w:rPr>
                <w:rFonts w:asciiTheme="minorHAnsi" w:hAnsiTheme="minorHAnsi" w:cstheme="minorHAnsi"/>
                <w:szCs w:val="22"/>
              </w:rPr>
            </w:pPr>
            <w:r w:rsidRPr="00AF2236">
              <w:rPr>
                <w:rFonts w:asciiTheme="minorHAnsi" w:hAnsiTheme="minorHAnsi" w:cstheme="minorHAnsi"/>
                <w:szCs w:val="22"/>
              </w:rPr>
              <w:t>doktoriõpe</w:t>
            </w:r>
          </w:p>
        </w:tc>
        <w:tc>
          <w:tcPr>
            <w:tcW w:w="2410" w:type="dxa"/>
          </w:tcPr>
          <w:p w14:paraId="09C9EC07" w14:textId="77777777" w:rsidR="007A5486" w:rsidRPr="00AF2236" w:rsidRDefault="007A5486" w:rsidP="00FA2C95">
            <w:pPr>
              <w:pStyle w:val="Bodym"/>
              <w:numPr>
                <w:ilvl w:val="0"/>
                <w:numId w:val="0"/>
              </w:numPr>
              <w:jc w:val="center"/>
              <w:rPr>
                <w:rFonts w:asciiTheme="minorHAnsi" w:hAnsiTheme="minorHAnsi" w:cstheme="minorBidi"/>
                <w:szCs w:val="22"/>
              </w:rPr>
            </w:pPr>
            <w:r w:rsidRPr="00AF2236">
              <w:rPr>
                <w:rFonts w:asciiTheme="minorHAnsi" w:hAnsiTheme="minorHAnsi" w:cstheme="minorBidi"/>
                <w:szCs w:val="22"/>
              </w:rPr>
              <w:t>6240 tundi</w:t>
            </w:r>
          </w:p>
        </w:tc>
        <w:tc>
          <w:tcPr>
            <w:tcW w:w="2686" w:type="dxa"/>
          </w:tcPr>
          <w:p w14:paraId="2270835D" w14:textId="77777777" w:rsidR="007A5486" w:rsidRPr="00AF2236" w:rsidRDefault="007A5486" w:rsidP="00FA2C95">
            <w:pPr>
              <w:pStyle w:val="Bodym"/>
              <w:numPr>
                <w:ilvl w:val="0"/>
                <w:numId w:val="0"/>
              </w:numPr>
              <w:jc w:val="center"/>
              <w:rPr>
                <w:rFonts w:asciiTheme="minorHAnsi" w:hAnsiTheme="minorHAnsi" w:cstheme="minorHAnsi"/>
                <w:szCs w:val="22"/>
              </w:rPr>
            </w:pPr>
            <w:r w:rsidRPr="00AF2236">
              <w:rPr>
                <w:rFonts w:asciiTheme="minorHAnsi" w:hAnsiTheme="minorHAnsi" w:cstheme="minorBidi"/>
                <w:szCs w:val="22"/>
              </w:rPr>
              <w:t>4</w:t>
            </w:r>
          </w:p>
        </w:tc>
      </w:tr>
    </w:tbl>
    <w:p w14:paraId="1A994392" w14:textId="52AF5D75" w:rsidR="007A5486" w:rsidRPr="00AF2236" w:rsidRDefault="007A5486" w:rsidP="007A5486">
      <w:pPr>
        <w:pStyle w:val="Bodym"/>
        <w:numPr>
          <w:ilvl w:val="0"/>
          <w:numId w:val="0"/>
        </w:numPr>
        <w:rPr>
          <w:rFonts w:asciiTheme="minorHAnsi" w:eastAsiaTheme="minorEastAsia" w:hAnsiTheme="minorHAnsi" w:cstheme="minorBidi"/>
          <w:szCs w:val="22"/>
        </w:rPr>
      </w:pPr>
      <w:r w:rsidRPr="00AF2236">
        <w:rPr>
          <w:rFonts w:asciiTheme="minorHAnsi" w:hAnsiTheme="minorHAnsi"/>
          <w:szCs w:val="22"/>
        </w:rPr>
        <w:t>*Doktoriõppe õppemahtu arvestatakse tundides.</w:t>
      </w:r>
    </w:p>
    <w:p w14:paraId="04C203F2" w14:textId="77777777" w:rsidR="007A5486" w:rsidRPr="00AF2236" w:rsidRDefault="007A5486" w:rsidP="007A5486">
      <w:pPr>
        <w:pStyle w:val="Heading1"/>
        <w:rPr>
          <w:rFonts w:asciiTheme="minorHAnsi" w:hAnsiTheme="minorHAnsi"/>
          <w:szCs w:val="22"/>
        </w:rPr>
      </w:pPr>
      <w:r w:rsidRPr="00AF2236">
        <w:br/>
      </w:r>
      <w:r w:rsidRPr="00AF2236">
        <w:rPr>
          <w:rFonts w:asciiTheme="minorHAnsi" w:hAnsiTheme="minorHAnsi"/>
          <w:szCs w:val="22"/>
        </w:rPr>
        <w:t xml:space="preserve">BAKALAUREUSE-, RAKENDUSKÕRGHARIDUS-, </w:t>
      </w:r>
      <w:r w:rsidRPr="00AF2236">
        <w:br/>
      </w:r>
      <w:r w:rsidRPr="00AF2236">
        <w:rPr>
          <w:rFonts w:asciiTheme="minorHAnsi" w:hAnsiTheme="minorHAnsi"/>
          <w:szCs w:val="22"/>
        </w:rPr>
        <w:t>MAGISTRI- NING INTEGREERITUD BAKALAUREUSE- JA MAGISTRIÕPPE ÕPPEKAVA</w:t>
      </w:r>
    </w:p>
    <w:p w14:paraId="221E0E78" w14:textId="77777777" w:rsidR="007A5486" w:rsidRPr="00AF2236" w:rsidRDefault="007A5486" w:rsidP="007A5486">
      <w:pPr>
        <w:pStyle w:val="Loetelum"/>
        <w:numPr>
          <w:ilvl w:val="0"/>
          <w:numId w:val="4"/>
        </w:numPr>
        <w:rPr>
          <w:rFonts w:asciiTheme="minorHAnsi" w:hAnsiTheme="minorHAnsi"/>
          <w:szCs w:val="22"/>
        </w:rPr>
      </w:pPr>
      <w:r w:rsidRPr="00AF2236">
        <w:rPr>
          <w:rFonts w:asciiTheme="minorHAnsi" w:hAnsiTheme="minorHAnsi"/>
          <w:szCs w:val="22"/>
        </w:rPr>
        <w:t xml:space="preserve">Bakalaureuse-, rakenduskõrgharidus-, magistri- ning integreeritud bakalaureuse- ja  magistriõppe (edaspidi </w:t>
      </w:r>
      <w:r w:rsidRPr="00AF2236">
        <w:rPr>
          <w:rFonts w:asciiTheme="minorHAnsi" w:hAnsiTheme="minorHAnsi"/>
          <w:i/>
          <w:iCs/>
          <w:szCs w:val="22"/>
        </w:rPr>
        <w:t>integreeritud õpe)</w:t>
      </w:r>
      <w:r w:rsidRPr="00AF2236">
        <w:rPr>
          <w:rFonts w:asciiTheme="minorHAnsi" w:hAnsiTheme="minorHAnsi"/>
          <w:szCs w:val="22"/>
        </w:rPr>
        <w:t xml:space="preserve"> õppekavadele esitatavad nõuded</w:t>
      </w:r>
    </w:p>
    <w:p w14:paraId="761DC3DE"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Õppekava osad on:</w:t>
      </w:r>
    </w:p>
    <w:p w14:paraId="6EF01747" w14:textId="77777777" w:rsidR="007A5486" w:rsidRPr="00AF2236" w:rsidRDefault="007A5486" w:rsidP="007A5486">
      <w:pPr>
        <w:pStyle w:val="Bodym1"/>
        <w:numPr>
          <w:ilvl w:val="2"/>
          <w:numId w:val="4"/>
        </w:numPr>
        <w:rPr>
          <w:rFonts w:asciiTheme="minorHAnsi" w:hAnsiTheme="minorHAnsi"/>
          <w:szCs w:val="22"/>
        </w:rPr>
      </w:pPr>
      <w:proofErr w:type="spellStart"/>
      <w:r w:rsidRPr="00AF2236">
        <w:rPr>
          <w:rFonts w:asciiTheme="minorHAnsi" w:hAnsiTheme="minorHAnsi"/>
          <w:szCs w:val="22"/>
        </w:rPr>
        <w:t>üldõpe</w:t>
      </w:r>
      <w:proofErr w:type="spellEnd"/>
      <w:r w:rsidRPr="00AF2236">
        <w:rPr>
          <w:rFonts w:asciiTheme="minorHAnsi" w:hAnsiTheme="minorHAnsi"/>
          <w:szCs w:val="22"/>
        </w:rPr>
        <w:t xml:space="preserve">, mille eesmärk on süvendada </w:t>
      </w:r>
      <w:proofErr w:type="spellStart"/>
      <w:r w:rsidRPr="00AF2236">
        <w:rPr>
          <w:rFonts w:asciiTheme="minorHAnsi" w:hAnsiTheme="minorHAnsi"/>
          <w:szCs w:val="22"/>
        </w:rPr>
        <w:t>üldhariduslikke</w:t>
      </w:r>
      <w:proofErr w:type="spellEnd"/>
      <w:r w:rsidRPr="00AF2236">
        <w:rPr>
          <w:rFonts w:asciiTheme="minorHAnsi" w:hAnsiTheme="minorHAnsi"/>
          <w:szCs w:val="22"/>
        </w:rPr>
        <w:t xml:space="preserve"> teadmisi ja oskusi;</w:t>
      </w:r>
    </w:p>
    <w:p w14:paraId="0BB9F3E9"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põhiõpe, mille eesmärk on omandada õppevaldkondlik ja õppesuuna põhine spetsiifiline baasharidus;</w:t>
      </w:r>
    </w:p>
    <w:p w14:paraId="77CEE185" w14:textId="77777777" w:rsidR="007A5486" w:rsidRPr="00AF2236" w:rsidRDefault="007A5486" w:rsidP="007A5486">
      <w:pPr>
        <w:pStyle w:val="Bodym1"/>
        <w:numPr>
          <w:ilvl w:val="2"/>
          <w:numId w:val="4"/>
        </w:numPr>
        <w:rPr>
          <w:rFonts w:asciiTheme="minorHAnsi" w:hAnsiTheme="minorHAnsi"/>
          <w:szCs w:val="22"/>
        </w:rPr>
      </w:pPr>
      <w:proofErr w:type="spellStart"/>
      <w:r w:rsidRPr="00AF2236">
        <w:rPr>
          <w:rFonts w:asciiTheme="minorHAnsi" w:hAnsiTheme="minorHAnsi"/>
          <w:szCs w:val="22"/>
        </w:rPr>
        <w:t>eriõpe</w:t>
      </w:r>
      <w:proofErr w:type="spellEnd"/>
      <w:r w:rsidRPr="00AF2236">
        <w:rPr>
          <w:rFonts w:asciiTheme="minorHAnsi" w:hAnsiTheme="minorHAnsi"/>
          <w:szCs w:val="22"/>
        </w:rPr>
        <w:t xml:space="preserve">, sh praktika, mille eesmärk on omandada õppekavas kirjeldatud erialaga otseselt seotud pädevused tööle asumiseks ja õpingute jätkamiseks järgmisel õppeastmel; </w:t>
      </w:r>
    </w:p>
    <w:p w14:paraId="56AEAE24"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vabaõpe, mille eesmärk on õppija vabal valikul omandada pädevused õppekavasse mittekuuluvate õppeainete põhjal;</w:t>
      </w:r>
    </w:p>
    <w:p w14:paraId="065B7A9E"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lõputöö või lõpueksam, kusjuures ühel õppekava versioonil võib pakkuda variandina mõlemat.</w:t>
      </w:r>
    </w:p>
    <w:p w14:paraId="7E7BA336"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 xml:space="preserve">Õppekava versioon on vastava õppeaasta vastuvõtuks sisestatud õppekava õppeinfosüsteemis. </w:t>
      </w:r>
    </w:p>
    <w:p w14:paraId="68314813" w14:textId="57183AEB"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szCs w:val="22"/>
        </w:rPr>
        <w:t xml:space="preserve">Õppekava osade miinimummahud (EAP-des): </w:t>
      </w:r>
      <w:r w:rsidR="000B146F" w:rsidRPr="00AF2236">
        <w:rPr>
          <w:rFonts w:asciiTheme="minorHAnsi" w:hAnsiTheme="minorHAnsi"/>
          <w:szCs w:val="22"/>
        </w:rPr>
        <w:t>[jõustunud 01.01.2026]</w:t>
      </w:r>
    </w:p>
    <w:tbl>
      <w:tblPr>
        <w:tblStyle w:val="TableGrid"/>
        <w:tblW w:w="9331" w:type="dxa"/>
        <w:jc w:val="center"/>
        <w:tblLook w:val="04A0" w:firstRow="1" w:lastRow="0" w:firstColumn="1" w:lastColumn="0" w:noHBand="0" w:noVBand="1"/>
      </w:tblPr>
      <w:tblGrid>
        <w:gridCol w:w="2809"/>
        <w:gridCol w:w="879"/>
        <w:gridCol w:w="1081"/>
        <w:gridCol w:w="820"/>
        <w:gridCol w:w="966"/>
        <w:gridCol w:w="1117"/>
        <w:gridCol w:w="1659"/>
      </w:tblGrid>
      <w:tr w:rsidR="00AF2236" w:rsidRPr="00AF2236" w14:paraId="133999C8" w14:textId="77777777" w:rsidTr="00E40AE7">
        <w:trPr>
          <w:trHeight w:val="300"/>
          <w:jc w:val="center"/>
        </w:trPr>
        <w:tc>
          <w:tcPr>
            <w:tcW w:w="2830" w:type="dxa"/>
            <w:tcBorders>
              <w:tl2br w:val="single" w:sz="4" w:space="0" w:color="auto"/>
            </w:tcBorders>
          </w:tcPr>
          <w:p w14:paraId="51338242" w14:textId="77777777" w:rsidR="000B146F" w:rsidRPr="00AF2236" w:rsidRDefault="000B146F" w:rsidP="00E40AE7">
            <w:pPr>
              <w:keepNext/>
              <w:spacing w:before="120"/>
              <w:jc w:val="right"/>
              <w:rPr>
                <w:rFonts w:asciiTheme="minorHAnsi" w:hAnsiTheme="minorHAnsi" w:cstheme="minorBidi"/>
                <w:b/>
                <w:vertAlign w:val="subscript"/>
              </w:rPr>
            </w:pPr>
            <w:r w:rsidRPr="00AF2236">
              <w:rPr>
                <w:rFonts w:asciiTheme="minorHAnsi" w:hAnsiTheme="minorHAnsi" w:cstheme="minorBidi"/>
                <w:b/>
              </w:rPr>
              <w:t xml:space="preserve">Õppekava osa  </w:t>
            </w:r>
          </w:p>
          <w:p w14:paraId="4018EBE7" w14:textId="77777777" w:rsidR="000B146F" w:rsidRPr="00AF2236" w:rsidRDefault="000B146F" w:rsidP="00E40AE7">
            <w:pPr>
              <w:keepNext/>
              <w:spacing w:before="120"/>
              <w:rPr>
                <w:rFonts w:asciiTheme="minorHAnsi" w:hAnsiTheme="minorHAnsi" w:cstheme="minorBidi"/>
                <w:b/>
              </w:rPr>
            </w:pPr>
            <w:r w:rsidRPr="00AF2236">
              <w:rPr>
                <w:rFonts w:asciiTheme="minorHAnsi" w:hAnsiTheme="minorHAnsi" w:cstheme="minorBidi"/>
                <w:b/>
              </w:rPr>
              <w:t xml:space="preserve">Õpe  </w:t>
            </w:r>
          </w:p>
        </w:tc>
        <w:tc>
          <w:tcPr>
            <w:tcW w:w="728" w:type="dxa"/>
            <w:vAlign w:val="center"/>
          </w:tcPr>
          <w:p w14:paraId="171ED32A" w14:textId="77777777" w:rsidR="000B146F" w:rsidRPr="00AF2236" w:rsidRDefault="000B146F" w:rsidP="00E40AE7">
            <w:pPr>
              <w:keepNext/>
              <w:spacing w:before="120"/>
              <w:jc w:val="center"/>
              <w:rPr>
                <w:rFonts w:asciiTheme="minorHAnsi" w:hAnsiTheme="minorHAnsi" w:cstheme="minorBidi"/>
                <w:b/>
                <w:szCs w:val="22"/>
              </w:rPr>
            </w:pPr>
            <w:proofErr w:type="spellStart"/>
            <w:r w:rsidRPr="00AF2236">
              <w:rPr>
                <w:rFonts w:asciiTheme="minorHAnsi" w:hAnsiTheme="minorHAnsi" w:cstheme="minorBidi"/>
                <w:b/>
                <w:szCs w:val="22"/>
              </w:rPr>
              <w:t>Üldõpe</w:t>
            </w:r>
            <w:proofErr w:type="spellEnd"/>
          </w:p>
        </w:tc>
        <w:tc>
          <w:tcPr>
            <w:tcW w:w="1089" w:type="dxa"/>
            <w:vAlign w:val="center"/>
          </w:tcPr>
          <w:p w14:paraId="1497A85C" w14:textId="77777777" w:rsidR="000B146F" w:rsidRPr="00AF2236" w:rsidRDefault="000B146F" w:rsidP="00E40AE7">
            <w:pPr>
              <w:keepNext/>
              <w:spacing w:before="120"/>
              <w:jc w:val="center"/>
              <w:rPr>
                <w:rFonts w:asciiTheme="minorHAnsi" w:hAnsiTheme="minorHAnsi" w:cstheme="minorBidi"/>
                <w:b/>
                <w:szCs w:val="22"/>
              </w:rPr>
            </w:pPr>
            <w:r w:rsidRPr="00AF2236">
              <w:rPr>
                <w:rFonts w:asciiTheme="minorHAnsi" w:hAnsiTheme="minorHAnsi" w:cstheme="minorBidi"/>
                <w:b/>
                <w:szCs w:val="22"/>
              </w:rPr>
              <w:t>Põhiõpe</w:t>
            </w:r>
          </w:p>
        </w:tc>
        <w:tc>
          <w:tcPr>
            <w:tcW w:w="1848" w:type="dxa"/>
            <w:gridSpan w:val="2"/>
            <w:tcBorders>
              <w:bottom w:val="single" w:sz="4" w:space="0" w:color="auto"/>
            </w:tcBorders>
            <w:vAlign w:val="center"/>
          </w:tcPr>
          <w:p w14:paraId="19228A72" w14:textId="77777777" w:rsidR="000B146F" w:rsidRPr="00AF2236" w:rsidRDefault="000B146F" w:rsidP="00E40AE7">
            <w:pPr>
              <w:keepNext/>
              <w:spacing w:before="120"/>
              <w:jc w:val="center"/>
              <w:rPr>
                <w:rFonts w:asciiTheme="minorHAnsi" w:hAnsiTheme="minorHAnsi" w:cstheme="minorBidi"/>
                <w:b/>
                <w:szCs w:val="22"/>
              </w:rPr>
            </w:pPr>
            <w:proofErr w:type="spellStart"/>
            <w:r w:rsidRPr="00AF2236">
              <w:rPr>
                <w:rFonts w:asciiTheme="minorHAnsi" w:hAnsiTheme="minorHAnsi" w:cstheme="minorBidi"/>
                <w:b/>
                <w:szCs w:val="22"/>
              </w:rPr>
              <w:t>Eriõpe</w:t>
            </w:r>
            <w:proofErr w:type="spellEnd"/>
            <w:r w:rsidRPr="00AF2236">
              <w:rPr>
                <w:rFonts w:asciiTheme="minorHAnsi" w:hAnsiTheme="minorHAnsi" w:cstheme="minorBidi"/>
                <w:b/>
                <w:szCs w:val="22"/>
              </w:rPr>
              <w:t>, sh praktika</w:t>
            </w:r>
          </w:p>
        </w:tc>
        <w:tc>
          <w:tcPr>
            <w:tcW w:w="1124" w:type="dxa"/>
            <w:vAlign w:val="center"/>
          </w:tcPr>
          <w:p w14:paraId="5D25F3A8" w14:textId="77777777" w:rsidR="000B146F" w:rsidRPr="00AF2236" w:rsidRDefault="000B146F" w:rsidP="00E40AE7">
            <w:pPr>
              <w:keepNext/>
              <w:spacing w:before="120"/>
              <w:jc w:val="center"/>
              <w:rPr>
                <w:rFonts w:asciiTheme="minorHAnsi" w:hAnsiTheme="minorHAnsi" w:cstheme="minorBidi"/>
                <w:b/>
                <w:szCs w:val="22"/>
              </w:rPr>
            </w:pPr>
            <w:r w:rsidRPr="00AF2236">
              <w:rPr>
                <w:rFonts w:asciiTheme="minorHAnsi" w:hAnsiTheme="minorHAnsi" w:cstheme="minorBidi"/>
                <w:b/>
                <w:szCs w:val="22"/>
              </w:rPr>
              <w:t>Vabaõpe</w:t>
            </w:r>
          </w:p>
        </w:tc>
        <w:tc>
          <w:tcPr>
            <w:tcW w:w="1712" w:type="dxa"/>
            <w:vAlign w:val="center"/>
          </w:tcPr>
          <w:p w14:paraId="14014F5F" w14:textId="77777777" w:rsidR="000B146F" w:rsidRPr="00AF2236" w:rsidRDefault="000B146F" w:rsidP="00E40AE7">
            <w:pPr>
              <w:keepNext/>
              <w:jc w:val="center"/>
              <w:rPr>
                <w:rFonts w:asciiTheme="minorHAnsi" w:hAnsiTheme="minorHAnsi" w:cstheme="minorBidi"/>
                <w:b/>
                <w:szCs w:val="22"/>
              </w:rPr>
            </w:pPr>
            <w:r w:rsidRPr="00AF2236">
              <w:rPr>
                <w:rFonts w:asciiTheme="minorHAnsi" w:hAnsiTheme="minorHAnsi" w:cstheme="minorBidi"/>
                <w:b/>
                <w:szCs w:val="22"/>
              </w:rPr>
              <w:t>Lõputöö või</w:t>
            </w:r>
          </w:p>
          <w:p w14:paraId="114EB31A" w14:textId="77777777" w:rsidR="000B146F" w:rsidRPr="00AF2236" w:rsidRDefault="000B146F" w:rsidP="00E40AE7">
            <w:pPr>
              <w:keepNext/>
              <w:jc w:val="center"/>
              <w:rPr>
                <w:rFonts w:asciiTheme="minorHAnsi" w:hAnsiTheme="minorHAnsi" w:cstheme="minorBidi"/>
                <w:b/>
                <w:szCs w:val="22"/>
              </w:rPr>
            </w:pPr>
            <w:r w:rsidRPr="00AF2236">
              <w:rPr>
                <w:rFonts w:asciiTheme="minorHAnsi" w:hAnsiTheme="minorHAnsi" w:cstheme="minorBidi"/>
                <w:b/>
                <w:szCs w:val="22"/>
              </w:rPr>
              <w:t>-eksam</w:t>
            </w:r>
          </w:p>
        </w:tc>
      </w:tr>
      <w:tr w:rsidR="00AF2236" w:rsidRPr="00AF2236" w14:paraId="0381DC6E" w14:textId="77777777" w:rsidTr="00E40AE7">
        <w:trPr>
          <w:trHeight w:val="300"/>
          <w:jc w:val="center"/>
        </w:trPr>
        <w:tc>
          <w:tcPr>
            <w:tcW w:w="2830" w:type="dxa"/>
            <w:vAlign w:val="center"/>
          </w:tcPr>
          <w:p w14:paraId="23CD3D03" w14:textId="77777777" w:rsidR="000B146F" w:rsidRPr="00AF2236" w:rsidRDefault="000B146F" w:rsidP="00E40AE7">
            <w:pPr>
              <w:keepNext/>
              <w:spacing w:before="120"/>
              <w:rPr>
                <w:rFonts w:asciiTheme="minorHAnsi" w:hAnsiTheme="minorHAnsi" w:cstheme="minorBidi"/>
                <w:b/>
                <w:szCs w:val="22"/>
              </w:rPr>
            </w:pPr>
            <w:r w:rsidRPr="00AF2236">
              <w:rPr>
                <w:rFonts w:asciiTheme="minorHAnsi" w:hAnsiTheme="minorHAnsi" w:cstheme="minorBidi"/>
                <w:b/>
                <w:szCs w:val="22"/>
              </w:rPr>
              <w:t>Bakalaureuseõpe (180 EAP)</w:t>
            </w:r>
          </w:p>
        </w:tc>
        <w:tc>
          <w:tcPr>
            <w:tcW w:w="728" w:type="dxa"/>
            <w:vAlign w:val="center"/>
          </w:tcPr>
          <w:p w14:paraId="13AA6E24"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18</w:t>
            </w:r>
          </w:p>
        </w:tc>
        <w:tc>
          <w:tcPr>
            <w:tcW w:w="1089" w:type="dxa"/>
            <w:tcBorders>
              <w:right w:val="single" w:sz="4" w:space="0" w:color="auto"/>
            </w:tcBorders>
            <w:vAlign w:val="center"/>
          </w:tcPr>
          <w:p w14:paraId="0C500A96"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60</w:t>
            </w:r>
          </w:p>
        </w:tc>
        <w:tc>
          <w:tcPr>
            <w:tcW w:w="848" w:type="dxa"/>
            <w:tcBorders>
              <w:top w:val="single" w:sz="4" w:space="0" w:color="auto"/>
              <w:left w:val="single" w:sz="4" w:space="0" w:color="auto"/>
              <w:right w:val="single" w:sz="4" w:space="0" w:color="BFBFBF" w:themeColor="background1" w:themeShade="BF"/>
            </w:tcBorders>
            <w:vAlign w:val="center"/>
          </w:tcPr>
          <w:p w14:paraId="75B2D61C"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24</w:t>
            </w:r>
          </w:p>
        </w:tc>
        <w:tc>
          <w:tcPr>
            <w:tcW w:w="1000" w:type="dxa"/>
            <w:tcBorders>
              <w:top w:val="single" w:sz="4" w:space="0" w:color="auto"/>
              <w:left w:val="single" w:sz="4" w:space="0" w:color="BFBFBF" w:themeColor="background1" w:themeShade="BF"/>
              <w:right w:val="single" w:sz="4" w:space="0" w:color="auto"/>
            </w:tcBorders>
            <w:vAlign w:val="center"/>
          </w:tcPr>
          <w:p w14:paraId="68CCE429"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c>
          <w:tcPr>
            <w:tcW w:w="1124" w:type="dxa"/>
            <w:tcBorders>
              <w:left w:val="single" w:sz="4" w:space="0" w:color="auto"/>
            </w:tcBorders>
            <w:vAlign w:val="center"/>
          </w:tcPr>
          <w:p w14:paraId="1759D9A1"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c>
          <w:tcPr>
            <w:tcW w:w="1712" w:type="dxa"/>
            <w:vAlign w:val="center"/>
          </w:tcPr>
          <w:p w14:paraId="6CFEBC11"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r>
      <w:tr w:rsidR="00AF2236" w:rsidRPr="00AF2236" w14:paraId="06F02146" w14:textId="77777777" w:rsidTr="00E40AE7">
        <w:trPr>
          <w:trHeight w:val="300"/>
          <w:jc w:val="center"/>
        </w:trPr>
        <w:tc>
          <w:tcPr>
            <w:tcW w:w="2830" w:type="dxa"/>
            <w:tcBorders>
              <w:bottom w:val="single" w:sz="4" w:space="0" w:color="auto"/>
            </w:tcBorders>
            <w:vAlign w:val="center"/>
          </w:tcPr>
          <w:p w14:paraId="27F20C01" w14:textId="77777777" w:rsidR="000B146F" w:rsidRPr="00AF2236" w:rsidRDefault="000B146F" w:rsidP="00E40AE7">
            <w:pPr>
              <w:keepNext/>
              <w:spacing w:before="120"/>
              <w:rPr>
                <w:rFonts w:asciiTheme="minorHAnsi" w:hAnsiTheme="minorHAnsi" w:cstheme="minorBidi"/>
                <w:b/>
                <w:szCs w:val="22"/>
                <w:vertAlign w:val="superscript"/>
              </w:rPr>
            </w:pPr>
            <w:r w:rsidRPr="00AF2236">
              <w:rPr>
                <w:rFonts w:asciiTheme="minorHAnsi" w:hAnsiTheme="minorHAnsi" w:cstheme="minorBidi"/>
                <w:b/>
                <w:szCs w:val="22"/>
              </w:rPr>
              <w:t>Magistriõpe (60 EAP)</w:t>
            </w:r>
            <w:r w:rsidRPr="00AF2236">
              <w:rPr>
                <w:rFonts w:asciiTheme="minorHAnsi" w:hAnsiTheme="minorHAnsi" w:cstheme="minorBidi"/>
                <w:b/>
                <w:szCs w:val="22"/>
                <w:vertAlign w:val="superscript"/>
              </w:rPr>
              <w:t>1</w:t>
            </w:r>
          </w:p>
        </w:tc>
        <w:tc>
          <w:tcPr>
            <w:tcW w:w="728" w:type="dxa"/>
            <w:vAlign w:val="center"/>
          </w:tcPr>
          <w:p w14:paraId="0BC34401" w14:textId="77777777" w:rsidR="000B146F" w:rsidRPr="00AF2236" w:rsidRDefault="000B146F" w:rsidP="00E40AE7">
            <w:pPr>
              <w:keepNext/>
              <w:spacing w:before="120"/>
              <w:jc w:val="center"/>
              <w:rPr>
                <w:rFonts w:asciiTheme="minorHAnsi" w:hAnsiTheme="minorHAnsi" w:cstheme="minorBidi"/>
                <w:szCs w:val="22"/>
              </w:rPr>
            </w:pPr>
          </w:p>
        </w:tc>
        <w:tc>
          <w:tcPr>
            <w:tcW w:w="1089" w:type="dxa"/>
            <w:tcBorders>
              <w:right w:val="single" w:sz="4" w:space="0" w:color="auto"/>
            </w:tcBorders>
            <w:vAlign w:val="center"/>
          </w:tcPr>
          <w:p w14:paraId="5D149255" w14:textId="77777777" w:rsidR="000B146F" w:rsidRPr="00AF2236" w:rsidRDefault="000B146F" w:rsidP="00E40AE7">
            <w:pPr>
              <w:keepNext/>
              <w:spacing w:before="120"/>
              <w:jc w:val="center"/>
              <w:rPr>
                <w:rFonts w:asciiTheme="minorHAnsi" w:hAnsiTheme="minorHAnsi" w:cstheme="minorBidi"/>
                <w:szCs w:val="22"/>
              </w:rPr>
            </w:pPr>
          </w:p>
        </w:tc>
        <w:tc>
          <w:tcPr>
            <w:tcW w:w="848" w:type="dxa"/>
            <w:tcBorders>
              <w:right w:val="single" w:sz="4" w:space="0" w:color="BFBFBF" w:themeColor="background1" w:themeShade="BF"/>
            </w:tcBorders>
            <w:vAlign w:val="center"/>
          </w:tcPr>
          <w:p w14:paraId="793EBB04"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18</w:t>
            </w:r>
          </w:p>
        </w:tc>
        <w:tc>
          <w:tcPr>
            <w:tcW w:w="1000" w:type="dxa"/>
            <w:tcBorders>
              <w:left w:val="single" w:sz="4" w:space="0" w:color="BFBFBF" w:themeColor="background1" w:themeShade="BF"/>
              <w:right w:val="single" w:sz="4" w:space="0" w:color="auto"/>
            </w:tcBorders>
            <w:vAlign w:val="center"/>
          </w:tcPr>
          <w:p w14:paraId="7699771F" w14:textId="77777777" w:rsidR="000B146F" w:rsidRPr="00AF2236" w:rsidRDefault="000B146F" w:rsidP="00E40AE7">
            <w:pPr>
              <w:keepNext/>
              <w:spacing w:before="120"/>
              <w:jc w:val="center"/>
              <w:rPr>
                <w:rFonts w:asciiTheme="minorHAnsi" w:hAnsiTheme="minorHAnsi" w:cstheme="minorBidi"/>
                <w:szCs w:val="22"/>
              </w:rPr>
            </w:pPr>
          </w:p>
        </w:tc>
        <w:tc>
          <w:tcPr>
            <w:tcW w:w="1124" w:type="dxa"/>
            <w:tcBorders>
              <w:left w:val="single" w:sz="4" w:space="0" w:color="auto"/>
            </w:tcBorders>
            <w:vAlign w:val="center"/>
          </w:tcPr>
          <w:p w14:paraId="787BC50A" w14:textId="77777777" w:rsidR="000B146F" w:rsidRPr="00AF2236" w:rsidRDefault="000B146F" w:rsidP="00E40AE7">
            <w:pPr>
              <w:keepNext/>
              <w:spacing w:before="120"/>
              <w:jc w:val="center"/>
              <w:rPr>
                <w:rFonts w:asciiTheme="minorHAnsi" w:hAnsiTheme="minorHAnsi" w:cstheme="minorBidi"/>
                <w:szCs w:val="22"/>
              </w:rPr>
            </w:pPr>
          </w:p>
        </w:tc>
        <w:tc>
          <w:tcPr>
            <w:tcW w:w="1712" w:type="dxa"/>
            <w:vAlign w:val="center"/>
          </w:tcPr>
          <w:p w14:paraId="3F42F650" w14:textId="77777777" w:rsidR="000B146F" w:rsidRPr="00AF2236" w:rsidRDefault="000B146F" w:rsidP="00E40AE7">
            <w:pPr>
              <w:keepNext/>
              <w:spacing w:before="120"/>
              <w:jc w:val="center"/>
              <w:rPr>
                <w:rFonts w:asciiTheme="minorHAnsi" w:hAnsiTheme="minorHAnsi" w:cstheme="minorBidi"/>
              </w:rPr>
            </w:pPr>
            <w:r w:rsidRPr="00AF2236">
              <w:rPr>
                <w:rFonts w:asciiTheme="minorHAnsi" w:hAnsiTheme="minorHAnsi" w:cstheme="minorBidi"/>
              </w:rPr>
              <w:t>15</w:t>
            </w:r>
          </w:p>
        </w:tc>
      </w:tr>
      <w:tr w:rsidR="00AF2236" w:rsidRPr="00AF2236" w14:paraId="65FAC2AB" w14:textId="77777777" w:rsidTr="00E40AE7">
        <w:trPr>
          <w:trHeight w:val="300"/>
          <w:jc w:val="center"/>
        </w:trPr>
        <w:tc>
          <w:tcPr>
            <w:tcW w:w="2830" w:type="dxa"/>
            <w:tcBorders>
              <w:bottom w:val="single" w:sz="4" w:space="0" w:color="auto"/>
            </w:tcBorders>
            <w:vAlign w:val="center"/>
          </w:tcPr>
          <w:p w14:paraId="45393579" w14:textId="77777777" w:rsidR="000B146F" w:rsidRPr="00AF2236" w:rsidRDefault="000B146F" w:rsidP="00E40AE7">
            <w:pPr>
              <w:keepNext/>
              <w:spacing w:before="120"/>
              <w:rPr>
                <w:rFonts w:asciiTheme="minorHAnsi" w:hAnsiTheme="minorHAnsi" w:cstheme="minorBidi"/>
                <w:b/>
                <w:vertAlign w:val="superscript"/>
              </w:rPr>
            </w:pPr>
            <w:r w:rsidRPr="00AF2236">
              <w:rPr>
                <w:rFonts w:asciiTheme="minorHAnsi" w:hAnsiTheme="minorHAnsi" w:cstheme="minorBidi"/>
                <w:b/>
              </w:rPr>
              <w:t>Magistriõpe (120 EAP)</w:t>
            </w:r>
            <w:r w:rsidRPr="00AF2236">
              <w:rPr>
                <w:rFonts w:asciiTheme="minorHAnsi" w:hAnsiTheme="minorHAnsi" w:cstheme="minorBidi"/>
                <w:b/>
                <w:vertAlign w:val="superscript"/>
              </w:rPr>
              <w:t>2</w:t>
            </w:r>
          </w:p>
        </w:tc>
        <w:tc>
          <w:tcPr>
            <w:tcW w:w="728" w:type="dxa"/>
            <w:vAlign w:val="center"/>
          </w:tcPr>
          <w:p w14:paraId="3EC541E4" w14:textId="77777777" w:rsidR="000B146F" w:rsidRPr="00AF2236" w:rsidRDefault="000B146F" w:rsidP="00E40AE7">
            <w:pPr>
              <w:keepNext/>
              <w:spacing w:before="120"/>
              <w:jc w:val="center"/>
              <w:rPr>
                <w:rFonts w:asciiTheme="minorHAnsi" w:hAnsiTheme="minorHAnsi" w:cstheme="minorBidi"/>
              </w:rPr>
            </w:pPr>
            <w:r w:rsidRPr="00AF2236">
              <w:rPr>
                <w:rFonts w:asciiTheme="minorHAnsi" w:hAnsiTheme="minorHAnsi" w:cstheme="minorBidi"/>
              </w:rPr>
              <w:t>6</w:t>
            </w:r>
          </w:p>
        </w:tc>
        <w:tc>
          <w:tcPr>
            <w:tcW w:w="1089" w:type="dxa"/>
            <w:tcBorders>
              <w:right w:val="single" w:sz="4" w:space="0" w:color="auto"/>
            </w:tcBorders>
            <w:vAlign w:val="center"/>
          </w:tcPr>
          <w:p w14:paraId="307DA6FD"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18</w:t>
            </w:r>
          </w:p>
        </w:tc>
        <w:tc>
          <w:tcPr>
            <w:tcW w:w="848" w:type="dxa"/>
            <w:tcBorders>
              <w:left w:val="single" w:sz="4" w:space="0" w:color="auto"/>
              <w:right w:val="single" w:sz="4" w:space="0" w:color="BFBFBF" w:themeColor="background1" w:themeShade="BF"/>
            </w:tcBorders>
            <w:vAlign w:val="center"/>
          </w:tcPr>
          <w:p w14:paraId="5F7C059C"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36</w:t>
            </w:r>
          </w:p>
        </w:tc>
        <w:tc>
          <w:tcPr>
            <w:tcW w:w="1000" w:type="dxa"/>
            <w:tcBorders>
              <w:left w:val="single" w:sz="4" w:space="0" w:color="BFBFBF" w:themeColor="background1" w:themeShade="BF"/>
              <w:right w:val="single" w:sz="4" w:space="0" w:color="auto"/>
            </w:tcBorders>
            <w:vAlign w:val="center"/>
          </w:tcPr>
          <w:p w14:paraId="33F01960" w14:textId="77777777" w:rsidR="000B146F" w:rsidRPr="00AF2236" w:rsidRDefault="000B146F" w:rsidP="00E40AE7">
            <w:pPr>
              <w:keepNext/>
              <w:spacing w:before="120"/>
              <w:jc w:val="center"/>
              <w:rPr>
                <w:rFonts w:asciiTheme="minorHAnsi" w:hAnsiTheme="minorHAnsi" w:cstheme="minorBidi"/>
                <w:szCs w:val="22"/>
                <w:vertAlign w:val="superscript"/>
              </w:rPr>
            </w:pPr>
            <w:r w:rsidRPr="00AF2236">
              <w:rPr>
                <w:rFonts w:asciiTheme="minorHAnsi" w:hAnsiTheme="minorHAnsi" w:cstheme="minorBidi"/>
                <w:szCs w:val="22"/>
              </w:rPr>
              <w:t>6</w:t>
            </w:r>
            <w:r w:rsidRPr="00AF2236">
              <w:rPr>
                <w:rFonts w:asciiTheme="minorHAnsi" w:hAnsiTheme="minorHAnsi" w:cstheme="minorBidi"/>
                <w:szCs w:val="22"/>
                <w:vertAlign w:val="superscript"/>
              </w:rPr>
              <w:t>3</w:t>
            </w:r>
          </w:p>
        </w:tc>
        <w:tc>
          <w:tcPr>
            <w:tcW w:w="1124" w:type="dxa"/>
            <w:tcBorders>
              <w:left w:val="single" w:sz="4" w:space="0" w:color="auto"/>
            </w:tcBorders>
            <w:vAlign w:val="center"/>
          </w:tcPr>
          <w:p w14:paraId="1D0A3A57"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c>
          <w:tcPr>
            <w:tcW w:w="1712" w:type="dxa"/>
            <w:vAlign w:val="center"/>
          </w:tcPr>
          <w:p w14:paraId="2C6CD381"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18–30</w:t>
            </w:r>
          </w:p>
        </w:tc>
      </w:tr>
      <w:tr w:rsidR="00AF2236" w:rsidRPr="00AF2236" w14:paraId="208309FB" w14:textId="77777777" w:rsidTr="00E40AE7">
        <w:trPr>
          <w:trHeight w:val="300"/>
          <w:jc w:val="center"/>
        </w:trPr>
        <w:tc>
          <w:tcPr>
            <w:tcW w:w="2830" w:type="dxa"/>
            <w:vAlign w:val="center"/>
          </w:tcPr>
          <w:p w14:paraId="600B0CE9" w14:textId="77777777" w:rsidR="000B146F" w:rsidRPr="00AF2236" w:rsidRDefault="000B146F" w:rsidP="00E40AE7">
            <w:pPr>
              <w:keepNext/>
              <w:spacing w:before="120"/>
              <w:rPr>
                <w:rFonts w:asciiTheme="minorHAnsi" w:hAnsiTheme="minorHAnsi" w:cstheme="minorBidi"/>
                <w:b/>
                <w:szCs w:val="22"/>
              </w:rPr>
            </w:pPr>
            <w:r w:rsidRPr="00AF2236">
              <w:rPr>
                <w:rFonts w:asciiTheme="minorHAnsi" w:hAnsiTheme="minorHAnsi" w:cstheme="minorBidi"/>
                <w:b/>
                <w:szCs w:val="22"/>
              </w:rPr>
              <w:t>Rakenduskõrgharidusõpe (180 EAP)</w:t>
            </w:r>
          </w:p>
        </w:tc>
        <w:tc>
          <w:tcPr>
            <w:tcW w:w="728" w:type="dxa"/>
            <w:vAlign w:val="center"/>
          </w:tcPr>
          <w:p w14:paraId="22FB2AFA"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18</w:t>
            </w:r>
          </w:p>
        </w:tc>
        <w:tc>
          <w:tcPr>
            <w:tcW w:w="1089" w:type="dxa"/>
            <w:tcBorders>
              <w:right w:val="single" w:sz="4" w:space="0" w:color="auto"/>
            </w:tcBorders>
            <w:vAlign w:val="center"/>
          </w:tcPr>
          <w:p w14:paraId="18AC749E"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48</w:t>
            </w:r>
          </w:p>
        </w:tc>
        <w:tc>
          <w:tcPr>
            <w:tcW w:w="848" w:type="dxa"/>
            <w:tcBorders>
              <w:left w:val="single" w:sz="4" w:space="0" w:color="auto"/>
              <w:right w:val="single" w:sz="4" w:space="0" w:color="BFBFBF" w:themeColor="background1" w:themeShade="BF"/>
            </w:tcBorders>
            <w:vAlign w:val="center"/>
          </w:tcPr>
          <w:p w14:paraId="2B0282ED"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57</w:t>
            </w:r>
          </w:p>
        </w:tc>
        <w:tc>
          <w:tcPr>
            <w:tcW w:w="1000" w:type="dxa"/>
            <w:tcBorders>
              <w:left w:val="single" w:sz="4" w:space="0" w:color="BFBFBF" w:themeColor="background1" w:themeShade="BF"/>
              <w:right w:val="single" w:sz="4" w:space="0" w:color="auto"/>
            </w:tcBorders>
            <w:vAlign w:val="center"/>
          </w:tcPr>
          <w:p w14:paraId="1A659A69" w14:textId="77777777" w:rsidR="000B146F" w:rsidRPr="00AF2236" w:rsidRDefault="000B146F" w:rsidP="00E40AE7">
            <w:pPr>
              <w:keepNext/>
              <w:spacing w:before="120"/>
              <w:jc w:val="center"/>
              <w:rPr>
                <w:rFonts w:asciiTheme="minorHAnsi" w:hAnsiTheme="minorHAnsi" w:cstheme="minorBidi"/>
                <w:szCs w:val="22"/>
                <w:vertAlign w:val="superscript"/>
              </w:rPr>
            </w:pPr>
            <w:r w:rsidRPr="00AF2236">
              <w:rPr>
                <w:rFonts w:asciiTheme="minorHAnsi" w:hAnsiTheme="minorHAnsi" w:cstheme="minorBidi"/>
                <w:szCs w:val="22"/>
              </w:rPr>
              <w:t>27</w:t>
            </w:r>
            <w:r w:rsidRPr="00AF2236">
              <w:rPr>
                <w:rFonts w:asciiTheme="minorHAnsi" w:hAnsiTheme="minorHAnsi" w:cstheme="minorBidi"/>
                <w:szCs w:val="22"/>
                <w:vertAlign w:val="superscript"/>
              </w:rPr>
              <w:t>4</w:t>
            </w:r>
          </w:p>
        </w:tc>
        <w:tc>
          <w:tcPr>
            <w:tcW w:w="1124" w:type="dxa"/>
            <w:tcBorders>
              <w:left w:val="single" w:sz="4" w:space="0" w:color="auto"/>
            </w:tcBorders>
            <w:vAlign w:val="center"/>
          </w:tcPr>
          <w:p w14:paraId="46E17F97"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c>
          <w:tcPr>
            <w:tcW w:w="1712" w:type="dxa"/>
            <w:vAlign w:val="center"/>
          </w:tcPr>
          <w:p w14:paraId="53E8AEB4"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r>
      <w:tr w:rsidR="00AF2236" w:rsidRPr="00AF2236" w14:paraId="282FD707" w14:textId="77777777" w:rsidTr="00E40AE7">
        <w:trPr>
          <w:trHeight w:val="300"/>
          <w:jc w:val="center"/>
        </w:trPr>
        <w:tc>
          <w:tcPr>
            <w:tcW w:w="2830" w:type="dxa"/>
            <w:vAlign w:val="center"/>
          </w:tcPr>
          <w:p w14:paraId="5E22ACD0" w14:textId="77777777" w:rsidR="000B146F" w:rsidRPr="00AF2236" w:rsidRDefault="000B146F" w:rsidP="00E40AE7">
            <w:pPr>
              <w:keepNext/>
              <w:spacing w:before="120"/>
              <w:rPr>
                <w:rFonts w:asciiTheme="minorHAnsi" w:hAnsiTheme="minorHAnsi" w:cstheme="minorBidi"/>
                <w:b/>
                <w:szCs w:val="22"/>
                <w:vertAlign w:val="superscript"/>
              </w:rPr>
            </w:pPr>
            <w:r w:rsidRPr="00AF2236">
              <w:rPr>
                <w:rFonts w:asciiTheme="minorHAnsi" w:hAnsiTheme="minorHAnsi" w:cstheme="minorBidi"/>
                <w:b/>
                <w:szCs w:val="22"/>
              </w:rPr>
              <w:t>Rakenduskõrgharidusõpe (240 EAP)</w:t>
            </w:r>
            <w:r w:rsidRPr="00AF2236">
              <w:rPr>
                <w:rFonts w:asciiTheme="minorHAnsi" w:hAnsiTheme="minorHAnsi" w:cstheme="minorBidi"/>
                <w:b/>
                <w:szCs w:val="22"/>
                <w:vertAlign w:val="superscript"/>
              </w:rPr>
              <w:t>5</w:t>
            </w:r>
          </w:p>
        </w:tc>
        <w:tc>
          <w:tcPr>
            <w:tcW w:w="728" w:type="dxa"/>
            <w:vAlign w:val="center"/>
          </w:tcPr>
          <w:p w14:paraId="734C7E1A"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18</w:t>
            </w:r>
          </w:p>
        </w:tc>
        <w:tc>
          <w:tcPr>
            <w:tcW w:w="1089" w:type="dxa"/>
            <w:tcBorders>
              <w:right w:val="single" w:sz="4" w:space="0" w:color="auto"/>
            </w:tcBorders>
            <w:vAlign w:val="center"/>
          </w:tcPr>
          <w:p w14:paraId="588EA3C7"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48</w:t>
            </w:r>
          </w:p>
        </w:tc>
        <w:tc>
          <w:tcPr>
            <w:tcW w:w="848" w:type="dxa"/>
            <w:tcBorders>
              <w:left w:val="single" w:sz="4" w:space="0" w:color="auto"/>
              <w:right w:val="single" w:sz="4" w:space="0" w:color="BFBFBF" w:themeColor="background1" w:themeShade="BF"/>
            </w:tcBorders>
            <w:vAlign w:val="center"/>
          </w:tcPr>
          <w:p w14:paraId="732DFEB4"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66</w:t>
            </w:r>
          </w:p>
        </w:tc>
        <w:tc>
          <w:tcPr>
            <w:tcW w:w="1000" w:type="dxa"/>
            <w:tcBorders>
              <w:left w:val="single" w:sz="4" w:space="0" w:color="BFBFBF" w:themeColor="background1" w:themeShade="BF"/>
              <w:right w:val="single" w:sz="4" w:space="0" w:color="auto"/>
            </w:tcBorders>
            <w:vAlign w:val="center"/>
          </w:tcPr>
          <w:p w14:paraId="4691316E"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36</w:t>
            </w:r>
          </w:p>
        </w:tc>
        <w:tc>
          <w:tcPr>
            <w:tcW w:w="1124" w:type="dxa"/>
            <w:tcBorders>
              <w:left w:val="single" w:sz="4" w:space="0" w:color="auto"/>
            </w:tcBorders>
            <w:vAlign w:val="center"/>
          </w:tcPr>
          <w:p w14:paraId="4B22347C"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c>
          <w:tcPr>
            <w:tcW w:w="1712" w:type="dxa"/>
            <w:vAlign w:val="center"/>
          </w:tcPr>
          <w:p w14:paraId="7A44459F"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w:t>
            </w:r>
          </w:p>
        </w:tc>
      </w:tr>
      <w:tr w:rsidR="000B146F" w:rsidRPr="00AF2236" w14:paraId="37C9EDCB" w14:textId="77777777" w:rsidTr="00E40AE7">
        <w:trPr>
          <w:trHeight w:val="300"/>
          <w:jc w:val="center"/>
        </w:trPr>
        <w:tc>
          <w:tcPr>
            <w:tcW w:w="2830" w:type="dxa"/>
            <w:vAlign w:val="center"/>
          </w:tcPr>
          <w:p w14:paraId="4E590188" w14:textId="77777777" w:rsidR="000B146F" w:rsidRPr="00AF2236" w:rsidRDefault="000B146F" w:rsidP="00E40AE7">
            <w:pPr>
              <w:keepNext/>
              <w:spacing w:before="120"/>
              <w:rPr>
                <w:rFonts w:asciiTheme="minorHAnsi" w:hAnsiTheme="minorHAnsi" w:cstheme="minorBidi"/>
                <w:b/>
                <w:szCs w:val="22"/>
              </w:rPr>
            </w:pPr>
            <w:r w:rsidRPr="00AF2236">
              <w:rPr>
                <w:rFonts w:asciiTheme="minorHAnsi" w:hAnsiTheme="minorHAnsi" w:cstheme="minorBidi"/>
                <w:b/>
                <w:szCs w:val="22"/>
              </w:rPr>
              <w:t>Integreeritud õpe (300 EAP)</w:t>
            </w:r>
          </w:p>
        </w:tc>
        <w:tc>
          <w:tcPr>
            <w:tcW w:w="728" w:type="dxa"/>
            <w:vAlign w:val="center"/>
          </w:tcPr>
          <w:p w14:paraId="479C9E04"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24</w:t>
            </w:r>
          </w:p>
        </w:tc>
        <w:tc>
          <w:tcPr>
            <w:tcW w:w="1089" w:type="dxa"/>
            <w:tcBorders>
              <w:right w:val="single" w:sz="4" w:space="0" w:color="auto"/>
            </w:tcBorders>
            <w:vAlign w:val="center"/>
          </w:tcPr>
          <w:p w14:paraId="5E66D099"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78</w:t>
            </w:r>
          </w:p>
        </w:tc>
        <w:tc>
          <w:tcPr>
            <w:tcW w:w="848" w:type="dxa"/>
            <w:tcBorders>
              <w:left w:val="single" w:sz="4" w:space="0" w:color="auto"/>
              <w:bottom w:val="single" w:sz="4" w:space="0" w:color="auto"/>
              <w:right w:val="single" w:sz="4" w:space="0" w:color="BFBFBF" w:themeColor="background1" w:themeShade="BF"/>
            </w:tcBorders>
            <w:vAlign w:val="center"/>
          </w:tcPr>
          <w:p w14:paraId="295D72EC"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60</w:t>
            </w:r>
          </w:p>
        </w:tc>
        <w:tc>
          <w:tcPr>
            <w:tcW w:w="1000" w:type="dxa"/>
            <w:tcBorders>
              <w:left w:val="single" w:sz="4" w:space="0" w:color="BFBFBF" w:themeColor="background1" w:themeShade="BF"/>
              <w:bottom w:val="single" w:sz="4" w:space="0" w:color="auto"/>
              <w:right w:val="single" w:sz="4" w:space="0" w:color="auto"/>
            </w:tcBorders>
            <w:vAlign w:val="center"/>
          </w:tcPr>
          <w:p w14:paraId="010E8C73"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12</w:t>
            </w:r>
          </w:p>
        </w:tc>
        <w:tc>
          <w:tcPr>
            <w:tcW w:w="1124" w:type="dxa"/>
            <w:tcBorders>
              <w:left w:val="single" w:sz="4" w:space="0" w:color="auto"/>
            </w:tcBorders>
            <w:vAlign w:val="center"/>
          </w:tcPr>
          <w:p w14:paraId="262EBA8C"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12</w:t>
            </w:r>
          </w:p>
        </w:tc>
        <w:tc>
          <w:tcPr>
            <w:tcW w:w="1712" w:type="dxa"/>
            <w:vAlign w:val="center"/>
          </w:tcPr>
          <w:p w14:paraId="69B74B20" w14:textId="77777777" w:rsidR="000B146F" w:rsidRPr="00AF2236" w:rsidRDefault="000B146F" w:rsidP="00E40AE7">
            <w:pPr>
              <w:keepNext/>
              <w:spacing w:before="120"/>
              <w:jc w:val="center"/>
              <w:rPr>
                <w:rFonts w:asciiTheme="minorHAnsi" w:hAnsiTheme="minorHAnsi" w:cstheme="minorBidi"/>
                <w:szCs w:val="22"/>
              </w:rPr>
            </w:pPr>
            <w:r w:rsidRPr="00AF2236">
              <w:rPr>
                <w:rFonts w:asciiTheme="minorHAnsi" w:hAnsiTheme="minorHAnsi" w:cstheme="minorBidi"/>
                <w:szCs w:val="22"/>
              </w:rPr>
              <w:t>30</w:t>
            </w:r>
          </w:p>
        </w:tc>
      </w:tr>
    </w:tbl>
    <w:p w14:paraId="454E945B" w14:textId="77777777" w:rsidR="007A5486" w:rsidRPr="00AF2236" w:rsidRDefault="007A5486" w:rsidP="007A5486">
      <w:pPr>
        <w:pStyle w:val="Bodym"/>
        <w:numPr>
          <w:ilvl w:val="0"/>
          <w:numId w:val="0"/>
        </w:numPr>
        <w:rPr>
          <w:rFonts w:asciiTheme="minorHAnsi" w:hAnsiTheme="minorHAnsi" w:cstheme="minorBidi"/>
          <w:szCs w:val="22"/>
        </w:rPr>
      </w:pPr>
    </w:p>
    <w:p w14:paraId="1B3B312F" w14:textId="77777777" w:rsidR="007A5486" w:rsidRPr="00AF2236" w:rsidRDefault="007A5486" w:rsidP="007A5486">
      <w:pPr>
        <w:rPr>
          <w:rFonts w:asciiTheme="minorHAnsi" w:hAnsiTheme="minorHAnsi"/>
          <w:szCs w:val="22"/>
        </w:rPr>
      </w:pPr>
      <w:r w:rsidRPr="00AF2236">
        <w:rPr>
          <w:rFonts w:asciiTheme="minorHAnsi" w:hAnsiTheme="minorHAnsi"/>
          <w:szCs w:val="22"/>
          <w:vertAlign w:val="superscript"/>
        </w:rPr>
        <w:t>1</w:t>
      </w:r>
      <w:r w:rsidRPr="00AF2236">
        <w:rPr>
          <w:rFonts w:asciiTheme="minorHAnsi" w:hAnsiTheme="minorHAnsi"/>
          <w:szCs w:val="22"/>
        </w:rPr>
        <w:t xml:space="preserve">1-aastase nominaalkestusega magistriõppe õppekavade kohustuslikud osad on </w:t>
      </w:r>
      <w:proofErr w:type="spellStart"/>
      <w:r w:rsidRPr="00AF2236">
        <w:rPr>
          <w:rFonts w:asciiTheme="minorHAnsi" w:hAnsiTheme="minorHAnsi"/>
          <w:szCs w:val="22"/>
        </w:rPr>
        <w:t>eriõpe</w:t>
      </w:r>
      <w:proofErr w:type="spellEnd"/>
      <w:r w:rsidRPr="00AF2236">
        <w:rPr>
          <w:rFonts w:asciiTheme="minorHAnsi" w:hAnsiTheme="minorHAnsi"/>
          <w:szCs w:val="22"/>
        </w:rPr>
        <w:t xml:space="preserve"> ja lõputöö/lõpueksam. </w:t>
      </w:r>
      <w:proofErr w:type="spellStart"/>
      <w:r w:rsidRPr="00AF2236">
        <w:rPr>
          <w:rFonts w:asciiTheme="minorHAnsi" w:hAnsiTheme="minorHAnsi"/>
          <w:szCs w:val="22"/>
        </w:rPr>
        <w:t>Üld</w:t>
      </w:r>
      <w:proofErr w:type="spellEnd"/>
      <w:r w:rsidRPr="00AF2236">
        <w:rPr>
          <w:rFonts w:asciiTheme="minorHAnsi" w:hAnsiTheme="minorHAnsi"/>
          <w:szCs w:val="22"/>
        </w:rPr>
        <w:t>-, põhi- ja vabaõpet saab lisada vajaduspõhiselt.</w:t>
      </w:r>
    </w:p>
    <w:p w14:paraId="48DA9D15" w14:textId="77777777" w:rsidR="007A5486" w:rsidRPr="00AF2236" w:rsidRDefault="007A5486" w:rsidP="007A5486">
      <w:pPr>
        <w:rPr>
          <w:rFonts w:asciiTheme="minorHAnsi" w:hAnsiTheme="minorHAnsi"/>
          <w:szCs w:val="22"/>
        </w:rPr>
      </w:pPr>
      <w:r w:rsidRPr="00AF2236">
        <w:rPr>
          <w:rFonts w:asciiTheme="minorHAnsi" w:hAnsiTheme="minorHAnsi"/>
          <w:szCs w:val="22"/>
        </w:rPr>
        <w:t xml:space="preserve"> </w:t>
      </w:r>
      <w:r w:rsidRPr="00AF2236">
        <w:rPr>
          <w:rFonts w:asciiTheme="minorHAnsi" w:hAnsiTheme="minorHAnsi"/>
          <w:szCs w:val="22"/>
          <w:vertAlign w:val="superscript"/>
        </w:rPr>
        <w:t>2</w:t>
      </w:r>
      <w:r w:rsidRPr="00AF2236">
        <w:rPr>
          <w:rFonts w:asciiTheme="minorHAnsi" w:hAnsiTheme="minorHAnsi"/>
          <w:szCs w:val="22"/>
        </w:rPr>
        <w:t>1,5-aastase nominaalkestusega 90 EAP mahus magistriõppe õppekavade põhi- ja eriõppe maht on proportsionaalselt väiksem.</w:t>
      </w:r>
    </w:p>
    <w:p w14:paraId="05C913A3" w14:textId="77777777" w:rsidR="007A5486" w:rsidRPr="00AF2236" w:rsidRDefault="007A5486" w:rsidP="007A5486">
      <w:pPr>
        <w:rPr>
          <w:rFonts w:asciiTheme="minorHAnsi" w:hAnsiTheme="minorHAnsi"/>
          <w:szCs w:val="22"/>
        </w:rPr>
      </w:pPr>
      <w:r w:rsidRPr="00AF2236">
        <w:rPr>
          <w:rFonts w:asciiTheme="minorHAnsi" w:hAnsiTheme="minorHAnsi"/>
          <w:szCs w:val="22"/>
        </w:rPr>
        <w:t xml:space="preserve"> </w:t>
      </w:r>
      <w:r w:rsidRPr="00AF2236">
        <w:rPr>
          <w:rFonts w:asciiTheme="minorHAnsi" w:hAnsiTheme="minorHAnsi"/>
          <w:szCs w:val="22"/>
          <w:vertAlign w:val="superscript"/>
        </w:rPr>
        <w:t>3</w:t>
      </w:r>
      <w:r w:rsidRPr="00AF2236">
        <w:rPr>
          <w:rFonts w:asciiTheme="minorHAnsi" w:hAnsiTheme="minorHAnsi"/>
          <w:szCs w:val="22"/>
        </w:rPr>
        <w:t>Magistriõppes on praktika nõutav juhul, kui see on vajalik õpiväljundite saavutamiseks.</w:t>
      </w:r>
    </w:p>
    <w:p w14:paraId="0E030200" w14:textId="77777777" w:rsidR="007A5486" w:rsidRPr="00AF2236" w:rsidRDefault="007A5486" w:rsidP="007A5486">
      <w:pPr>
        <w:rPr>
          <w:rFonts w:asciiTheme="minorHAnsi" w:hAnsiTheme="minorHAnsi"/>
          <w:szCs w:val="22"/>
        </w:rPr>
      </w:pPr>
      <w:r w:rsidRPr="00AF2236">
        <w:rPr>
          <w:rFonts w:asciiTheme="minorHAnsi" w:hAnsiTheme="minorHAnsi"/>
          <w:szCs w:val="22"/>
        </w:rPr>
        <w:t xml:space="preserve"> </w:t>
      </w:r>
      <w:r w:rsidRPr="00AF2236">
        <w:rPr>
          <w:rFonts w:asciiTheme="minorHAnsi" w:hAnsiTheme="minorHAnsi"/>
          <w:szCs w:val="22"/>
          <w:vertAlign w:val="superscript"/>
        </w:rPr>
        <w:t>4</w:t>
      </w:r>
      <w:r w:rsidRPr="00AF2236">
        <w:rPr>
          <w:rFonts w:asciiTheme="minorHAnsi" w:hAnsiTheme="minorHAnsi"/>
          <w:szCs w:val="22"/>
        </w:rPr>
        <w:t>Praktika moodustab rakenduskõrgharidusõppe õppekavas määratud õppe mahust vähemalt 15%.</w:t>
      </w:r>
    </w:p>
    <w:p w14:paraId="24706CCE" w14:textId="77777777" w:rsidR="007A5486" w:rsidRPr="00AF2236" w:rsidRDefault="007A5486" w:rsidP="007A5486">
      <w:pPr>
        <w:rPr>
          <w:rFonts w:asciiTheme="minorHAnsi" w:hAnsiTheme="minorHAnsi"/>
          <w:szCs w:val="22"/>
        </w:rPr>
      </w:pPr>
      <w:r w:rsidRPr="00AF2236">
        <w:rPr>
          <w:rFonts w:asciiTheme="minorHAnsi" w:hAnsiTheme="minorHAnsi"/>
          <w:szCs w:val="22"/>
        </w:rPr>
        <w:t xml:space="preserve"> </w:t>
      </w:r>
      <w:r w:rsidRPr="00AF2236">
        <w:rPr>
          <w:rFonts w:asciiTheme="minorHAnsi" w:hAnsiTheme="minorHAnsi"/>
          <w:szCs w:val="22"/>
          <w:vertAlign w:val="superscript"/>
        </w:rPr>
        <w:t>5</w:t>
      </w:r>
      <w:r w:rsidRPr="00AF2236">
        <w:rPr>
          <w:rFonts w:asciiTheme="minorHAnsi" w:hAnsiTheme="minorHAnsi"/>
          <w:szCs w:val="22"/>
        </w:rPr>
        <w:t>3,5-aastase nominaalkestusega 210 EAP mahus rakenduskõrgharidusõppe õppekavade eriõppe maht on proportsionaalselt väiksem.</w:t>
      </w:r>
    </w:p>
    <w:p w14:paraId="080AD429"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Valikained moodustavad õppekava mahust vähemalt 15%. Igas valikainet sisaldavas moodulis peab valikus olevate õppeainete maht olema vähemalt 1,3 korda suurem mooduli läbimiseks valitavate valikainete mahust.</w:t>
      </w:r>
    </w:p>
    <w:p w14:paraId="2279DAA6"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Bakalaureuse-, rakenduskõrgharidus- ja integreeritud õppe õppekavad sisaldavad muu hulgas:</w:t>
      </w:r>
    </w:p>
    <w:p w14:paraId="37C5DD29"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 xml:space="preserve">ettevõtluse, kestliku arengu, matemaatika, digi ja </w:t>
      </w:r>
      <w:proofErr w:type="spellStart"/>
      <w:r w:rsidRPr="00AF2236">
        <w:rPr>
          <w:rFonts w:asciiTheme="minorHAnsi" w:hAnsiTheme="minorHAnsi"/>
          <w:szCs w:val="22"/>
        </w:rPr>
        <w:t>inseneeria</w:t>
      </w:r>
      <w:proofErr w:type="spellEnd"/>
      <w:r w:rsidRPr="00AF2236">
        <w:rPr>
          <w:rFonts w:asciiTheme="minorHAnsi" w:hAnsiTheme="minorHAnsi"/>
          <w:szCs w:val="22"/>
        </w:rPr>
        <w:t xml:space="preserve"> </w:t>
      </w:r>
      <w:proofErr w:type="spellStart"/>
      <w:r w:rsidRPr="00AF2236">
        <w:rPr>
          <w:rFonts w:asciiTheme="minorHAnsi" w:hAnsiTheme="minorHAnsi"/>
          <w:szCs w:val="22"/>
        </w:rPr>
        <w:t>ainevaldkondlikke</w:t>
      </w:r>
      <w:proofErr w:type="spellEnd"/>
      <w:r w:rsidRPr="00AF2236">
        <w:rPr>
          <w:rFonts w:asciiTheme="minorHAnsi" w:hAnsiTheme="minorHAnsi"/>
          <w:szCs w:val="22"/>
        </w:rPr>
        <w:t xml:space="preserve"> pädevusi ning enesejuhtimise ja õppimise, kriitilise mõtlemise, koostöö, suhtlemise ning eetika üldpädevusi, mille nõuded kehtestab õppeprorektor; </w:t>
      </w:r>
    </w:p>
    <w:p w14:paraId="3CC232FB"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 xml:space="preserve">õppeaineid, milles kasutatakse interdistsiplinaarset õpet ning probleem- ja projektõpet; </w:t>
      </w:r>
    </w:p>
    <w:p w14:paraId="012A8CCC"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eestikeelsetes õppekavades ingliskeelseid õppeaineid;</w:t>
      </w:r>
    </w:p>
    <w:p w14:paraId="586817C5"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ingliskeelsetes õppekavades eesti keele ja kultuuri õpet vähemalt 6 EAP mahus.</w:t>
      </w:r>
    </w:p>
    <w:p w14:paraId="2C64BA1C"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Magistriõppe õppekavad sisaldavad muu hulgas:</w:t>
      </w:r>
    </w:p>
    <w:p w14:paraId="2F448570"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ettevõtluse õppeainet, mis võib olla nii kohustuslik kui ka valikaine mahuga 6 EAP-d;</w:t>
      </w:r>
    </w:p>
    <w:p w14:paraId="72BFD52E"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 xml:space="preserve">õppeaineid, milles kasutatakse interdistsiplinaarset ning probleem- ja projektõpet; </w:t>
      </w:r>
    </w:p>
    <w:p w14:paraId="44622818"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eestikeelsetes õppekavades ingliskeelseid õppeaineid;</w:t>
      </w:r>
    </w:p>
    <w:p w14:paraId="04A8E73B" w14:textId="77777777" w:rsidR="007A5486" w:rsidRPr="00AF2236" w:rsidRDefault="007A5486" w:rsidP="007A5486">
      <w:pPr>
        <w:pStyle w:val="Bodym1"/>
        <w:numPr>
          <w:ilvl w:val="2"/>
          <w:numId w:val="4"/>
        </w:numPr>
        <w:rPr>
          <w:rFonts w:asciiTheme="minorHAnsi" w:hAnsiTheme="minorHAnsi" w:cstheme="minorBidi"/>
          <w:szCs w:val="22"/>
        </w:rPr>
      </w:pPr>
      <w:r w:rsidRPr="00AF2236">
        <w:rPr>
          <w:rFonts w:asciiTheme="minorHAnsi" w:hAnsiTheme="minorHAnsi" w:cstheme="minorBidi"/>
          <w:szCs w:val="22"/>
        </w:rPr>
        <w:t>ingliskeelsetes õppekavades eesti keele ja kultuuri õpet vähemalt 6 EAP mahus.</w:t>
      </w:r>
    </w:p>
    <w:p w14:paraId="5EBB72FC"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Käesoleva paragrahvi lg 6 punkte 1 ja 3 ei pea kohaldama üheaastastes magistriõppe õppekavades.</w:t>
      </w:r>
    </w:p>
    <w:p w14:paraId="5837225C"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cstheme="minorHAnsi"/>
        </w:rPr>
        <w:t>Ainekava ja õppekava vormistamise korra kehtestab õppeprorektor.</w:t>
      </w:r>
    </w:p>
    <w:p w14:paraId="562E0414" w14:textId="77777777" w:rsidR="007A5486" w:rsidRPr="00AF2236" w:rsidRDefault="007A5486" w:rsidP="007A5486">
      <w:pPr>
        <w:pStyle w:val="Bodym"/>
        <w:numPr>
          <w:ilvl w:val="1"/>
          <w:numId w:val="4"/>
        </w:numPr>
        <w:rPr>
          <w:rFonts w:asciiTheme="minorHAnsi" w:eastAsiaTheme="minorEastAsia" w:hAnsiTheme="minorHAnsi" w:cstheme="minorBidi"/>
          <w:szCs w:val="22"/>
        </w:rPr>
      </w:pPr>
      <w:r w:rsidRPr="00AF2236">
        <w:rPr>
          <w:rFonts w:asciiTheme="minorHAnsi" w:eastAsiaTheme="minorEastAsia" w:hAnsiTheme="minorHAnsi" w:cstheme="minorBidi"/>
          <w:szCs w:val="22"/>
        </w:rPr>
        <w:t>Akadeemiliste struktuuriüksuste õppetöö töömahukuse arvestamise tingimused ja korra kehtestab rektor.</w:t>
      </w:r>
    </w:p>
    <w:p w14:paraId="3E5F593E"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 xml:space="preserve">Kohustuslikes õppeainetes on tagatud </w:t>
      </w:r>
      <w:proofErr w:type="spellStart"/>
      <w:r w:rsidRPr="00AF2236">
        <w:rPr>
          <w:rFonts w:asciiTheme="minorHAnsi" w:hAnsiTheme="minorHAnsi"/>
          <w:szCs w:val="22"/>
        </w:rPr>
        <w:t>e-tugi</w:t>
      </w:r>
      <w:proofErr w:type="spellEnd"/>
      <w:r w:rsidRPr="00AF2236">
        <w:rPr>
          <w:rFonts w:asciiTheme="minorHAnsi" w:hAnsiTheme="minorHAnsi"/>
          <w:szCs w:val="22"/>
        </w:rPr>
        <w:t>.</w:t>
      </w:r>
    </w:p>
    <w:p w14:paraId="6AEF8187" w14:textId="77777777" w:rsidR="007A5486" w:rsidRPr="00AF2236" w:rsidRDefault="007A5486" w:rsidP="007A5486">
      <w:pPr>
        <w:pStyle w:val="Heading1"/>
        <w:rPr>
          <w:rFonts w:asciiTheme="minorHAnsi" w:hAnsiTheme="minorHAnsi"/>
          <w:szCs w:val="22"/>
        </w:rPr>
      </w:pPr>
      <w:r w:rsidRPr="00AF2236">
        <w:br/>
      </w:r>
      <w:r w:rsidRPr="00AF2236">
        <w:rPr>
          <w:rFonts w:asciiTheme="minorHAnsi" w:hAnsiTheme="minorHAnsi"/>
          <w:szCs w:val="22"/>
        </w:rPr>
        <w:t>DOKTORIÕPPE ÕPPEKAVA</w:t>
      </w:r>
    </w:p>
    <w:p w14:paraId="0149085D" w14:textId="77777777" w:rsidR="007A5486" w:rsidRPr="00AF2236" w:rsidRDefault="007A5486" w:rsidP="007A5486">
      <w:pPr>
        <w:pStyle w:val="Loetelum"/>
        <w:numPr>
          <w:ilvl w:val="0"/>
          <w:numId w:val="4"/>
        </w:numPr>
        <w:ind w:left="0"/>
        <w:rPr>
          <w:rFonts w:asciiTheme="minorHAnsi" w:hAnsiTheme="minorHAnsi"/>
          <w:szCs w:val="22"/>
        </w:rPr>
      </w:pPr>
      <w:r w:rsidRPr="00AF2236">
        <w:rPr>
          <w:rFonts w:asciiTheme="minorHAnsi" w:hAnsiTheme="minorHAnsi"/>
          <w:szCs w:val="22"/>
        </w:rPr>
        <w:t xml:space="preserve">Õppekavale esitatavad nõuded </w:t>
      </w:r>
    </w:p>
    <w:p w14:paraId="69D2960C"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Doktoriõpe koosneb doktoriõpingutest mahuga 30 EAP-d, mis vastab arvestuslikult 780 tunnile õppetööle, ning teadus-, arendus- ja loometööst, sh doktoritöö, mis vastab arvestuslikult 5460 töötunnile ja moodustab 87,5% kogu õppekava mahust.</w:t>
      </w:r>
    </w:p>
    <w:p w14:paraId="4ED34864"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Doktoriõppekava koosneb alljärgnevatest moodulitest:</w:t>
      </w:r>
    </w:p>
    <w:p w14:paraId="1A8CF734" w14:textId="77777777" w:rsidR="007A5486" w:rsidRPr="00AF2236" w:rsidRDefault="007A5486" w:rsidP="007A5486">
      <w:pPr>
        <w:pStyle w:val="Bodym"/>
        <w:numPr>
          <w:ilvl w:val="0"/>
          <w:numId w:val="0"/>
        </w:numPr>
        <w:rPr>
          <w:rFonts w:asciiTheme="minorHAnsi" w:hAnsiTheme="minorHAnsi"/>
          <w:szCs w:val="22"/>
        </w:rPr>
      </w:pPr>
      <w:r w:rsidRPr="00AF2236">
        <w:rPr>
          <w:rFonts w:asciiTheme="minorHAnsi" w:hAnsiTheme="minorHAnsi"/>
          <w:szCs w:val="22"/>
        </w:rPr>
        <w:t>1) ülekantavate oskuste moodul, mille miinimummaht on 12 EAP-d;</w:t>
      </w:r>
    </w:p>
    <w:p w14:paraId="2CF43552" w14:textId="77777777" w:rsidR="007A5486" w:rsidRPr="00AF2236" w:rsidRDefault="007A5486" w:rsidP="007A5486">
      <w:pPr>
        <w:pStyle w:val="Bodym"/>
        <w:numPr>
          <w:ilvl w:val="0"/>
          <w:numId w:val="0"/>
        </w:numPr>
        <w:rPr>
          <w:rFonts w:asciiTheme="minorHAnsi" w:hAnsiTheme="minorHAnsi"/>
          <w:szCs w:val="22"/>
        </w:rPr>
      </w:pPr>
      <w:r w:rsidRPr="00AF2236">
        <w:rPr>
          <w:rFonts w:asciiTheme="minorHAnsi" w:hAnsiTheme="minorHAnsi"/>
          <w:szCs w:val="22"/>
        </w:rPr>
        <w:t>2) erialaste teadmiste moodul, mille miinimummaht on 12 EAP-d;</w:t>
      </w:r>
    </w:p>
    <w:p w14:paraId="2FAE63CE" w14:textId="77777777" w:rsidR="007A5486" w:rsidRPr="00AF2236" w:rsidRDefault="007A5486" w:rsidP="007A5486">
      <w:pPr>
        <w:pStyle w:val="Bodym"/>
        <w:numPr>
          <w:ilvl w:val="0"/>
          <w:numId w:val="0"/>
        </w:numPr>
        <w:rPr>
          <w:rFonts w:asciiTheme="minorHAnsi" w:hAnsiTheme="minorHAnsi"/>
          <w:szCs w:val="22"/>
        </w:rPr>
      </w:pPr>
      <w:r w:rsidRPr="00AF2236">
        <w:rPr>
          <w:rFonts w:asciiTheme="minorHAnsi" w:hAnsiTheme="minorHAnsi"/>
          <w:szCs w:val="22"/>
        </w:rPr>
        <w:t xml:space="preserve">3) teadustöö moodul. </w:t>
      </w:r>
    </w:p>
    <w:p w14:paraId="5037A795"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Ülekantavate oskustena õpetatakse doktorantidele muu hulgas teadusfilosoofiat ja -eetikat, teadus- ja hariduskorraldust, kõrgkoolididaktikat, karjääriplaneerimist, teadusprojektide kirjutamist ja juhtimist,  ettevõtluskäitumist ja innovatsiooni ning suulist ja kirjalikku eneseväljendusoskust.</w:t>
      </w:r>
    </w:p>
    <w:p w14:paraId="0224DF7E"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Erialaste teadmiste moodulis valib doktoriõppe üliõpilane doktoritöö teemast lähtuvad erialaspetsiifilised ained.</w:t>
      </w:r>
    </w:p>
    <w:p w14:paraId="5B9E8883"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Teadustöö moodul sisaldab järgmisi teadus-, arendus- ja loometegevusi: seminarid, õpetamine ja juhendamine, publitseerimine, ettekanded teaduskonverentsidel, teaduse populariseerimisega seotud tegevused ja doktoritöö.</w:t>
      </w:r>
    </w:p>
    <w:p w14:paraId="6BE7FC15" w14:textId="77777777" w:rsidR="007A5486" w:rsidRPr="00AF2236" w:rsidRDefault="007A5486" w:rsidP="007A5486">
      <w:pPr>
        <w:pStyle w:val="Heading1"/>
        <w:rPr>
          <w:rFonts w:asciiTheme="minorHAnsi" w:hAnsiTheme="minorHAnsi"/>
          <w:szCs w:val="22"/>
        </w:rPr>
      </w:pPr>
      <w:r w:rsidRPr="00AF2236">
        <w:rPr>
          <w:rFonts w:asciiTheme="minorHAnsi" w:hAnsiTheme="minorHAnsi"/>
          <w:szCs w:val="22"/>
        </w:rPr>
        <w:br/>
        <w:t>ÕPPEKAVA AVAMINE, MUUTMINE JA SULGEMINE</w:t>
      </w:r>
    </w:p>
    <w:p w14:paraId="3DBE9117" w14:textId="77777777" w:rsidR="007A5486" w:rsidRPr="00AF2236" w:rsidRDefault="007A5486" w:rsidP="007A5486">
      <w:pPr>
        <w:pStyle w:val="Loetelum"/>
        <w:numPr>
          <w:ilvl w:val="0"/>
          <w:numId w:val="4"/>
        </w:numPr>
        <w:ind w:left="0"/>
        <w:rPr>
          <w:rFonts w:asciiTheme="minorHAnsi" w:hAnsiTheme="minorHAnsi"/>
          <w:szCs w:val="22"/>
        </w:rPr>
      </w:pPr>
      <w:r w:rsidRPr="00AF2236">
        <w:rPr>
          <w:rFonts w:asciiTheme="minorHAnsi" w:hAnsiTheme="minorHAnsi"/>
          <w:szCs w:val="22"/>
        </w:rPr>
        <w:t>Õppekava avamine</w:t>
      </w:r>
    </w:p>
    <w:p w14:paraId="52D0E2B7"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 xml:space="preserve">Õppekava avamise eeldus on ühiskonna vajadus erialaspetsialistide järele ja ülikooli piisavad akadeemilised ning materiaalsed ressursid. </w:t>
      </w:r>
    </w:p>
    <w:p w14:paraId="32966BA3" w14:textId="0DC3A4C3" w:rsidR="007A5486" w:rsidRPr="00AF2236" w:rsidRDefault="00343196" w:rsidP="007A5486">
      <w:pPr>
        <w:pStyle w:val="Bodym"/>
        <w:numPr>
          <w:ilvl w:val="1"/>
          <w:numId w:val="4"/>
        </w:numPr>
        <w:rPr>
          <w:rFonts w:asciiTheme="minorHAnsi" w:hAnsiTheme="minorHAnsi"/>
          <w:szCs w:val="22"/>
        </w:rPr>
      </w:pPr>
      <w:r w:rsidRPr="00AF2236">
        <w:rPr>
          <w:rFonts w:asciiTheme="minorHAnsi" w:hAnsiTheme="minorHAnsi"/>
          <w:szCs w:val="22"/>
        </w:rPr>
        <w:t>Õppekava avamiseks esitab dekaan või dekaani volitatud isik õppeprorektorile (doktoriõppe puhul teadusprorektorile) õppekava avamise eeltaotluse hiljemalt õppekava avamisele eelneva kalendriaasta 1. märtsiks, mis sisaldab: [jõustunud 01.01.2026]</w:t>
      </w:r>
    </w:p>
    <w:p w14:paraId="4FAC07EF"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õppekava avamise vajalikkuse põhjendust, sh õppekava ajakohasus, kooskõla ühiskondlike arengute ja vajadustega;</w:t>
      </w:r>
    </w:p>
    <w:p w14:paraId="15B92CC0"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õppekava kavandit, sh õppekava esialgset struktuuri moodulite tasandil;</w:t>
      </w:r>
    </w:p>
    <w:p w14:paraId="7BF67BD1"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õppekava eesmärke, õpiväljundeid ja nende võrdlust kõrgharidusstandardis toodud õpiväljunditega, kutsestandardi olemasolul võrdlust kutsestandardiga;</w:t>
      </w:r>
    </w:p>
    <w:p w14:paraId="39F8F85D"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õppekava seoseid olemasolevate õppekavadega, ülikoolisisese koostöö kirjeldust, konkurentsieeliste kirjeldust võrdluses õppekavadega nii Tallinna Tehnikaülikoolis kui ka teistes Eesti ja välisriikide kõrgkoolides;</w:t>
      </w:r>
    </w:p>
    <w:p w14:paraId="1F5CCFF2"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võimaliku sihtrühma ja lõpetajate tööturu väljundi analüüsi;</w:t>
      </w:r>
    </w:p>
    <w:p w14:paraId="46A22751"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kavandatavat üliõpilaste vastuvõtuarvu;</w:t>
      </w:r>
    </w:p>
    <w:p w14:paraId="55CB354D"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õppekava ressursside kirjeldust (sh rahastamise allikad, vajadus uute õppeainete loomiseks ja õppeteenustasu suurus, akadeemilised töötajad, võimalikud koostööpartnerid jm).</w:t>
      </w:r>
    </w:p>
    <w:p w14:paraId="6FC8B3DF" w14:textId="2D093772"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 xml:space="preserve">Ühisõppekava avamiseks esitab õppekava koostaja lisaks eeltaotlusele partnerkõrgkooli(de) nõusoleku, sh kokkuleppe õppekava rahastamisskeemi ning vastuvõtu korraldamise kohta. </w:t>
      </w:r>
      <w:r w:rsidR="00343196" w:rsidRPr="00AF2236">
        <w:rPr>
          <w:rFonts w:asciiTheme="minorHAnsi" w:hAnsiTheme="minorHAnsi"/>
          <w:szCs w:val="22"/>
        </w:rPr>
        <w:t>Kui ühisõppekava avamiseks kasutatakse rahastust ülikoolivälistest vahenditest, tuleb eeltaotlus koos partneri(te) nõusoleku(te)</w:t>
      </w:r>
      <w:proofErr w:type="spellStart"/>
      <w:r w:rsidR="00343196" w:rsidRPr="00AF2236">
        <w:rPr>
          <w:rFonts w:asciiTheme="minorHAnsi" w:hAnsiTheme="minorHAnsi"/>
          <w:szCs w:val="22"/>
        </w:rPr>
        <w:t>ga</w:t>
      </w:r>
      <w:proofErr w:type="spellEnd"/>
      <w:r w:rsidR="00343196" w:rsidRPr="00AF2236">
        <w:rPr>
          <w:rFonts w:asciiTheme="minorHAnsi" w:hAnsiTheme="minorHAnsi"/>
          <w:szCs w:val="22"/>
        </w:rPr>
        <w:t xml:space="preserve"> esitada õppeprorektorile enne finantseerimistaotluse esitamist</w:t>
      </w:r>
      <w:r w:rsidRPr="00AF2236">
        <w:rPr>
          <w:rFonts w:asciiTheme="minorHAnsi" w:hAnsiTheme="minorHAnsi"/>
          <w:szCs w:val="22"/>
        </w:rPr>
        <w:t>.</w:t>
      </w:r>
      <w:r w:rsidR="00343196" w:rsidRPr="00AF2236">
        <w:rPr>
          <w:rFonts w:asciiTheme="minorHAnsi" w:hAnsiTheme="minorHAnsi"/>
          <w:szCs w:val="22"/>
        </w:rPr>
        <w:t xml:space="preserve"> [jõustunud 01.01.2026]</w:t>
      </w:r>
    </w:p>
    <w:p w14:paraId="01A9573E"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Õppeprorektor (doktoriõppe puhul teadusprorektor) korraldab eeltaotluse hindamise 2 kuu jooksul, mille käigus:</w:t>
      </w:r>
    </w:p>
    <w:p w14:paraId="5884A849" w14:textId="77777777" w:rsidR="007A5486" w:rsidRPr="00AF2236" w:rsidRDefault="007A5486" w:rsidP="007A5486">
      <w:pPr>
        <w:pStyle w:val="Bodym1"/>
        <w:numPr>
          <w:ilvl w:val="2"/>
          <w:numId w:val="4"/>
        </w:numPr>
        <w:rPr>
          <w:rFonts w:asciiTheme="minorHAnsi" w:hAnsiTheme="minorHAnsi" w:cstheme="minorHAnsi"/>
        </w:rPr>
      </w:pPr>
      <w:r w:rsidRPr="00AF2236">
        <w:rPr>
          <w:rFonts w:asciiTheme="minorHAnsi" w:hAnsiTheme="minorHAnsi" w:cstheme="minorBidi"/>
          <w:szCs w:val="22"/>
        </w:rPr>
        <w:t>õppeosakond kontrollib eeltaotluse nõuetele vastavust ja saadab õppekava koostajale esmase tagasiside;</w:t>
      </w:r>
    </w:p>
    <w:p w14:paraId="7438CC4A" w14:textId="77777777" w:rsidR="007A5486" w:rsidRPr="00AF2236" w:rsidRDefault="007A5486" w:rsidP="007A5486">
      <w:pPr>
        <w:pStyle w:val="Bodym1"/>
        <w:numPr>
          <w:ilvl w:val="2"/>
          <w:numId w:val="4"/>
        </w:numPr>
        <w:rPr>
          <w:rFonts w:asciiTheme="minorHAnsi" w:hAnsiTheme="minorHAnsi" w:cstheme="minorBidi"/>
        </w:rPr>
      </w:pPr>
      <w:r w:rsidRPr="00AF2236">
        <w:rPr>
          <w:rFonts w:asciiTheme="minorHAnsi" w:hAnsiTheme="minorHAnsi" w:cstheme="minorBidi"/>
          <w:szCs w:val="22"/>
        </w:rPr>
        <w:t>õppekava koostaja vajadusel täiendab tagasiside põhjal eeltaotlust ja esitab selle uuesti õppeosakonnale;</w:t>
      </w:r>
    </w:p>
    <w:p w14:paraId="42021B09" w14:textId="77777777" w:rsidR="007A5486" w:rsidRPr="00AF2236" w:rsidRDefault="007A5486" w:rsidP="007A5486">
      <w:pPr>
        <w:pStyle w:val="Bodym1"/>
        <w:numPr>
          <w:ilvl w:val="2"/>
          <w:numId w:val="4"/>
        </w:numPr>
        <w:rPr>
          <w:rFonts w:asciiTheme="minorHAnsi" w:hAnsiTheme="minorHAnsi" w:cstheme="minorHAnsi"/>
        </w:rPr>
      </w:pPr>
      <w:r w:rsidRPr="00AF2236">
        <w:rPr>
          <w:rFonts w:asciiTheme="minorHAnsi" w:hAnsiTheme="minorHAnsi" w:cstheme="minorBidi"/>
          <w:szCs w:val="22"/>
        </w:rPr>
        <w:t>õppeosakond edastab nõuetele vastava eeltaotluse õppekomisjonile (doktoriõppe puhul teaduskomisjonile);</w:t>
      </w:r>
    </w:p>
    <w:p w14:paraId="65D3EE53" w14:textId="6A98DB71" w:rsidR="007A5486" w:rsidRPr="00AF2236" w:rsidRDefault="00343196" w:rsidP="007A5486">
      <w:pPr>
        <w:pStyle w:val="Bodym1"/>
        <w:numPr>
          <w:ilvl w:val="2"/>
          <w:numId w:val="4"/>
        </w:numPr>
        <w:rPr>
          <w:rFonts w:asciiTheme="minorHAnsi" w:hAnsiTheme="minorHAnsi" w:cstheme="minorHAnsi"/>
        </w:rPr>
      </w:pPr>
      <w:r w:rsidRPr="00AF2236">
        <w:rPr>
          <w:rFonts w:asciiTheme="minorHAnsi" w:hAnsiTheme="minorHAnsi" w:cstheme="minorBidi"/>
          <w:szCs w:val="22"/>
        </w:rPr>
        <w:t>õppekomisjon (doktoriõppe puhul teaduskomisjon) arutab eeltaotlust, teeb ettepanekuid ja annab soovitusi ning kujundab põhjendatud seisukoha, kas õppekava tuleks avada või mitte</w:t>
      </w:r>
      <w:r w:rsidR="007A5486" w:rsidRPr="00AF2236">
        <w:rPr>
          <w:rFonts w:asciiTheme="minorHAnsi" w:hAnsiTheme="minorHAnsi" w:cstheme="minorBidi"/>
          <w:szCs w:val="22"/>
        </w:rPr>
        <w:t>;</w:t>
      </w:r>
      <w:r w:rsidRPr="00AF2236">
        <w:rPr>
          <w:rFonts w:asciiTheme="minorHAnsi" w:hAnsiTheme="minorHAnsi" w:cstheme="minorBidi"/>
          <w:szCs w:val="22"/>
        </w:rPr>
        <w:t xml:space="preserve"> [jõustunud 01.01.2026]</w:t>
      </w:r>
    </w:p>
    <w:p w14:paraId="0E6ADFFD" w14:textId="77777777" w:rsidR="007A5486" w:rsidRPr="00AF2236" w:rsidRDefault="007A5486" w:rsidP="007A5486">
      <w:pPr>
        <w:pStyle w:val="Bodym1"/>
        <w:numPr>
          <w:ilvl w:val="2"/>
          <w:numId w:val="4"/>
        </w:numPr>
        <w:rPr>
          <w:rFonts w:asciiTheme="minorHAnsi" w:hAnsiTheme="minorHAnsi" w:cstheme="minorBidi"/>
        </w:rPr>
      </w:pPr>
      <w:r w:rsidRPr="00AF2236">
        <w:rPr>
          <w:rFonts w:asciiTheme="minorHAnsi" w:hAnsiTheme="minorHAnsi" w:cstheme="minorBidi"/>
          <w:szCs w:val="22"/>
        </w:rPr>
        <w:t>õppeprorektor (doktoriõppe puhul teadusprorektor) otsustab õppekava väljatöötamise, kuulates ära õppekomisjoni (doktoriõppe puhul ka teaduskomisjoni).</w:t>
      </w:r>
    </w:p>
    <w:p w14:paraId="351FADB9"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Positiivse hinnangu saanud eeltaotluse põhjal esitab dekaan õppeprorektorile (doktoriõppe puhul teadusprorektorile) 5. septembriks esildise, millega kinnitatakse programminõukoda ja programmijuht, kelle ülesanne on koostada õppeinfosüsteemis õppeprogrammi aluseks olev õppekava, valmistada ette õppeprogrammi käivitamine ja esitada vastuvõtutingimused.</w:t>
      </w:r>
    </w:p>
    <w:p w14:paraId="1B58709F" w14:textId="63033468"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Programmijuht kooskõlastab õppekavas sisalduvad õppeained õppetööd läbi viivate struktuuriüksuste juhtidega.</w:t>
      </w:r>
      <w:r w:rsidR="00343196" w:rsidRPr="00AF2236">
        <w:rPr>
          <w:rFonts w:asciiTheme="minorHAnsi" w:hAnsiTheme="minorHAnsi"/>
          <w:szCs w:val="22"/>
        </w:rPr>
        <w:t xml:space="preserve"> </w:t>
      </w:r>
      <w:r w:rsidR="00343196" w:rsidRPr="00AF2236">
        <w:t>Programmijuht tagab vajalike kooskõlastuste olemasolu kirjalikku taasesitamist võimaldavas vormis. [jõustunud 01.01.2026]</w:t>
      </w:r>
    </w:p>
    <w:p w14:paraId="2AE53225" w14:textId="673A2669" w:rsidR="007A5486" w:rsidRPr="00AF2236" w:rsidRDefault="00343196" w:rsidP="007A5486">
      <w:pPr>
        <w:pStyle w:val="Bodym"/>
        <w:numPr>
          <w:ilvl w:val="1"/>
          <w:numId w:val="4"/>
        </w:numPr>
        <w:rPr>
          <w:rFonts w:asciiTheme="minorHAnsi" w:hAnsiTheme="minorHAnsi"/>
          <w:szCs w:val="22"/>
        </w:rPr>
      </w:pPr>
      <w:r w:rsidRPr="00AF2236">
        <w:rPr>
          <w:rFonts w:asciiTheme="minorHAnsi" w:hAnsiTheme="minorHAnsi"/>
          <w:szCs w:val="22"/>
        </w:rPr>
        <w:t>Programmijuht esitab 1. oktoobriks õppeosakonnale õppekava kavandi, millele lisab</w:t>
      </w:r>
      <w:r w:rsidR="007A5486" w:rsidRPr="00AF2236">
        <w:rPr>
          <w:rFonts w:asciiTheme="minorHAnsi" w:hAnsiTheme="minorHAnsi"/>
          <w:szCs w:val="22"/>
        </w:rPr>
        <w:t xml:space="preserve">: </w:t>
      </w:r>
      <w:r w:rsidRPr="00AF2236">
        <w:rPr>
          <w:rFonts w:asciiTheme="minorHAnsi" w:hAnsiTheme="minorHAnsi"/>
          <w:szCs w:val="22"/>
        </w:rPr>
        <w:t>[jõustunud 01.01.2026]</w:t>
      </w:r>
    </w:p>
    <w:p w14:paraId="35C179A1"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õppetööd läbiviivate akadeemiliste töötajate nimekirja koos andmetega nende kvalifikatsioonide kohta;</w:t>
      </w:r>
    </w:p>
    <w:p w14:paraId="5A63D434"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õppekava õpiväljundite võrdluse kõrgharidusstandardis nimetatud vastava kõrgharidusastme õpiväljunditega;</w:t>
      </w:r>
    </w:p>
    <w:p w14:paraId="42D0AA01"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seletuskirja, milles sisaldub põhjendus uue õppekava avamiseks ja ülevaade õppekava avamisega kaasnevate täiendavate ressursside vajaduse kohta, sh nimekiri loodavatest uutest õppeainetest ning kavandatav üliõpilaste vastuvõtuarv;</w:t>
      </w:r>
    </w:p>
    <w:p w14:paraId="5A16BD68" w14:textId="77777777" w:rsidR="007A5486" w:rsidRPr="00AF2236" w:rsidRDefault="007A5486" w:rsidP="007A5486">
      <w:pPr>
        <w:pStyle w:val="Bodym1"/>
        <w:numPr>
          <w:ilvl w:val="2"/>
          <w:numId w:val="4"/>
        </w:numPr>
        <w:rPr>
          <w:rFonts w:asciiTheme="minorHAnsi" w:hAnsiTheme="minorHAnsi"/>
          <w:szCs w:val="22"/>
        </w:rPr>
      </w:pPr>
      <w:r w:rsidRPr="00AF2236">
        <w:rPr>
          <w:rFonts w:asciiTheme="minorHAnsi" w:hAnsiTheme="minorHAnsi"/>
          <w:szCs w:val="22"/>
        </w:rPr>
        <w:t>vähemalt kaks eksperthinnangut õppekava kohta valdkonna erialaliitudelt ja/või tööandjatelt;</w:t>
      </w:r>
    </w:p>
    <w:p w14:paraId="356D1ED7" w14:textId="77777777" w:rsidR="007A5486" w:rsidRPr="00AF2236" w:rsidRDefault="007A5486" w:rsidP="007A5486">
      <w:pPr>
        <w:pStyle w:val="Bodym1"/>
        <w:numPr>
          <w:ilvl w:val="2"/>
          <w:numId w:val="4"/>
        </w:numPr>
      </w:pPr>
      <w:r w:rsidRPr="00AF2236">
        <w:rPr>
          <w:rFonts w:asciiTheme="minorHAnsi" w:hAnsiTheme="minorHAnsi" w:cstheme="minorBidi"/>
          <w:szCs w:val="22"/>
        </w:rPr>
        <w:t>ühisõppekava korral kõrgharidusseaduses sätestatud nõuetele vastava koostöölepingu projekti.</w:t>
      </w:r>
    </w:p>
    <w:p w14:paraId="3644F2B3" w14:textId="77777777" w:rsidR="007A5486" w:rsidRPr="00AF2236" w:rsidRDefault="007A5486" w:rsidP="007A5486">
      <w:pPr>
        <w:pStyle w:val="Bodym"/>
        <w:numPr>
          <w:ilvl w:val="1"/>
          <w:numId w:val="4"/>
        </w:numPr>
        <w:rPr>
          <w:rFonts w:asciiTheme="minorHAnsi" w:hAnsiTheme="minorHAnsi" w:cstheme="minorHAnsi"/>
        </w:rPr>
      </w:pPr>
      <w:r w:rsidRPr="00AF2236">
        <w:rPr>
          <w:rFonts w:asciiTheme="minorHAnsi" w:hAnsiTheme="minorHAnsi" w:cstheme="minorHAnsi"/>
        </w:rPr>
        <w:t>Õppeosakond kontrollib õppekava vastavust nõuetele.</w:t>
      </w:r>
    </w:p>
    <w:p w14:paraId="0E1F99A4" w14:textId="40F5FFBC" w:rsidR="007A5486" w:rsidRPr="00AF2236" w:rsidRDefault="00343196" w:rsidP="007A5486">
      <w:pPr>
        <w:pStyle w:val="Bodym"/>
        <w:numPr>
          <w:ilvl w:val="1"/>
          <w:numId w:val="4"/>
        </w:numPr>
        <w:rPr>
          <w:rFonts w:asciiTheme="minorHAnsi" w:hAnsiTheme="minorHAnsi" w:cstheme="minorBidi"/>
          <w:szCs w:val="22"/>
        </w:rPr>
      </w:pPr>
      <w:r w:rsidRPr="00AF2236">
        <w:t>Teaduskonna nõukogu otsustab nõuetele vastava õppekava avamise ja edastab otsuse õppeosakonnale. Õppeosakond edastab nõuetele vastava õppekava koos käesoleva paragrahvi lõikes 7 nimetatud dokumentidega senatile. [jõustunud 01.01.2026]</w:t>
      </w:r>
    </w:p>
    <w:p w14:paraId="6D55EF88"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 xml:space="preserve">Ülikooli senat kinnitab õppekava hiljemalt 9 kuud enne õppeaasta algust, kuulates ära õppekomisjoni (doktoriõppe puhul ka teaduskomisjoni) seisukoha. </w:t>
      </w:r>
    </w:p>
    <w:p w14:paraId="14D33523" w14:textId="78107DB8" w:rsidR="007A5486" w:rsidRPr="00AF2236" w:rsidRDefault="00343196" w:rsidP="007A5486">
      <w:pPr>
        <w:pStyle w:val="Bodym"/>
        <w:numPr>
          <w:ilvl w:val="1"/>
          <w:numId w:val="4"/>
        </w:numPr>
        <w:rPr>
          <w:rFonts w:asciiTheme="minorHAnsi" w:hAnsiTheme="minorHAnsi"/>
          <w:szCs w:val="22"/>
        </w:rPr>
      </w:pPr>
      <w:r w:rsidRPr="00AF2236">
        <w:rPr>
          <w:rFonts w:asciiTheme="minorHAnsi" w:hAnsiTheme="minorHAnsi" w:cstheme="minorBidi"/>
          <w:szCs w:val="22"/>
        </w:rPr>
        <w:t>[kehtetu – jõustunud 01.01.2026]</w:t>
      </w:r>
    </w:p>
    <w:p w14:paraId="05AA3598" w14:textId="77777777" w:rsidR="007A5486" w:rsidRPr="00AF2236" w:rsidRDefault="007A5486" w:rsidP="007A5486">
      <w:pPr>
        <w:pStyle w:val="Loetelum"/>
        <w:numPr>
          <w:ilvl w:val="0"/>
          <w:numId w:val="4"/>
        </w:numPr>
        <w:ind w:left="0"/>
        <w:rPr>
          <w:rFonts w:asciiTheme="minorHAnsi" w:hAnsiTheme="minorHAnsi"/>
          <w:szCs w:val="22"/>
        </w:rPr>
      </w:pPr>
      <w:r w:rsidRPr="00AF2236">
        <w:rPr>
          <w:rFonts w:asciiTheme="minorHAnsi" w:hAnsiTheme="minorHAnsi"/>
          <w:szCs w:val="22"/>
        </w:rPr>
        <w:t>Õppekava muutmine</w:t>
      </w:r>
    </w:p>
    <w:p w14:paraId="6DD6AC55"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Kui õppekaval muutub õppekeel, õppe nominaalkestus, maht või muudetakse olulisel määral õppekava eesmärke ja õpiväljundeid, tuleb avada uus õppekava statuudi §-i 5 alusel.</w:t>
      </w:r>
    </w:p>
    <w:p w14:paraId="5F9E27D9"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Igaks õppeaastaks luuakse vastuvõtuks avatud esimese ja teise astme õppekavadest uus versioon.</w:t>
      </w:r>
    </w:p>
    <w:p w14:paraId="56E00AE7" w14:textId="77777777" w:rsidR="00343196" w:rsidRPr="00AF2236" w:rsidRDefault="007A5486" w:rsidP="00343196">
      <w:pPr>
        <w:pStyle w:val="Bodym"/>
        <w:numPr>
          <w:ilvl w:val="1"/>
          <w:numId w:val="4"/>
        </w:numPr>
        <w:rPr>
          <w:rFonts w:asciiTheme="minorHAnsi" w:eastAsiaTheme="minorEastAsia" w:hAnsiTheme="minorHAnsi" w:cstheme="minorBidi"/>
          <w:szCs w:val="22"/>
        </w:rPr>
      </w:pPr>
      <w:r w:rsidRPr="00AF2236">
        <w:rPr>
          <w:rFonts w:asciiTheme="minorHAnsi" w:eastAsiaTheme="minorEastAsia" w:hAnsiTheme="minorHAnsi" w:cstheme="minorBidi"/>
          <w:szCs w:val="22"/>
        </w:rPr>
        <w:t>Õppekava uue versiooni loomiseks sisestab programmijuht õppeinfosüsteemi uue versiooni kavandi ja esitab õppekava muudatused koos põhjendustega õppeosakonnale kooskõlastamiseks.</w:t>
      </w:r>
    </w:p>
    <w:p w14:paraId="3455D5F0" w14:textId="75B31AAC" w:rsidR="00343196" w:rsidRPr="00AF2236" w:rsidRDefault="00343196" w:rsidP="00343196">
      <w:pPr>
        <w:pStyle w:val="Bodym"/>
        <w:numPr>
          <w:ilvl w:val="1"/>
          <w:numId w:val="4"/>
        </w:numPr>
        <w:rPr>
          <w:rFonts w:asciiTheme="minorHAnsi" w:eastAsiaTheme="minorEastAsia" w:hAnsiTheme="minorHAnsi" w:cstheme="minorBidi"/>
          <w:szCs w:val="22"/>
        </w:rPr>
      </w:pPr>
      <w:r w:rsidRPr="00AF2236">
        <w:t>Ülikooli senat kinnitab õppeosakonna edastatud õppekava versiooni muudatused järgmistel juhtudel: [jõustunud 01.01.2026]</w:t>
      </w:r>
    </w:p>
    <w:p w14:paraId="5BFD1FAB" w14:textId="77777777" w:rsidR="00343196" w:rsidRPr="00AF2236" w:rsidRDefault="00343196" w:rsidP="00343196">
      <w:pPr>
        <w:pStyle w:val="Bodym1"/>
        <w:numPr>
          <w:ilvl w:val="0"/>
          <w:numId w:val="0"/>
        </w:numPr>
      </w:pPr>
      <w:r w:rsidRPr="00AF2236">
        <w:t>1) peaeriala lisamine või sulgemine;</w:t>
      </w:r>
    </w:p>
    <w:p w14:paraId="18B4C7E7" w14:textId="77777777" w:rsidR="00343196" w:rsidRPr="00AF2236" w:rsidRDefault="00343196" w:rsidP="00343196">
      <w:pPr>
        <w:pStyle w:val="Bodym1"/>
        <w:numPr>
          <w:ilvl w:val="0"/>
          <w:numId w:val="0"/>
        </w:numPr>
      </w:pPr>
      <w:r w:rsidRPr="00AF2236">
        <w:t>2) õppekava nimetuse muutmine;</w:t>
      </w:r>
    </w:p>
    <w:p w14:paraId="6A65A828" w14:textId="77777777" w:rsidR="00343196" w:rsidRPr="00AF2236" w:rsidRDefault="00343196" w:rsidP="00343196">
      <w:pPr>
        <w:pStyle w:val="Bodym1"/>
        <w:numPr>
          <w:ilvl w:val="0"/>
          <w:numId w:val="0"/>
        </w:numPr>
      </w:pPr>
      <w:r w:rsidRPr="00AF2236">
        <w:t>3) antava kraadi nimetuse muutmine;</w:t>
      </w:r>
    </w:p>
    <w:p w14:paraId="58F0EC0F" w14:textId="77777777" w:rsidR="00343196" w:rsidRPr="00AF2236" w:rsidRDefault="00343196" w:rsidP="00343196">
      <w:pPr>
        <w:pStyle w:val="Bodym1"/>
        <w:numPr>
          <w:ilvl w:val="0"/>
          <w:numId w:val="0"/>
        </w:numPr>
      </w:pPr>
      <w:r w:rsidRPr="00AF2236">
        <w:t>4) õppekava liigituse muutmine;</w:t>
      </w:r>
    </w:p>
    <w:p w14:paraId="28524AAE" w14:textId="6C0F2F8F" w:rsidR="007A5486" w:rsidRPr="00AF2236" w:rsidRDefault="00343196" w:rsidP="00343196">
      <w:pPr>
        <w:pStyle w:val="Bodym1"/>
        <w:numPr>
          <w:ilvl w:val="0"/>
          <w:numId w:val="0"/>
        </w:numPr>
        <w:rPr>
          <w:rFonts w:asciiTheme="minorHAnsi" w:eastAsiaTheme="minorEastAsia" w:hAnsiTheme="minorHAnsi" w:cstheme="minorBidi"/>
          <w:szCs w:val="22"/>
        </w:rPr>
      </w:pPr>
      <w:r w:rsidRPr="00AF2236">
        <w:t>5) õppekava haldava struktuuriüksuse muutmine.</w:t>
      </w:r>
    </w:p>
    <w:p w14:paraId="7807BAF7"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Käesoleva paragrahvi lõikes 4 nimetamata muudatused kinnitab programmijuhi ettepanekul teaduskonna nõukogu, välja arvatud juhul, kui õppekava uue versiooni moodulites ja õppeainete loendis ei tehta eelmise versiooniga võrreldes muudatusi.</w:t>
      </w:r>
    </w:p>
    <w:p w14:paraId="5B9C9A0D"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Peaeriala lisamisel esitab programmijuht täiendavad andmed ressursside ja kavandatava üliõpilaste arvu kohta. Peaeriala lisamise otsustab ülikooli senat õppeprorektori (doktoriõppe puhul teadusprorektori) ettepanekul, kuulates ära teaduskonna nõukogu seisukoha.</w:t>
      </w:r>
    </w:p>
    <w:p w14:paraId="21CEDC89"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Eelmistes õppekava versioonides, kuhu on immatrikuleeritud üliõpilased, kelle õpingute algusest ei ole möödunud õppekava nominaalkestusele lisaks rohkem kui kaks aastat, võib asendada üksikuid õppeaineid samas mahus, lisada valikaineid ja lõpetada valikainete õpetamine.</w:t>
      </w:r>
    </w:p>
    <w:p w14:paraId="17EF3842" w14:textId="77777777"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Käesoleva paragrahvi lõikes 7 nimetatud õppekava muudatused esitab programmijuht koos põhjendustega õppeosakonnale kooskõlastamiseks.</w:t>
      </w:r>
    </w:p>
    <w:p w14:paraId="4F4DF033" w14:textId="724DF664" w:rsidR="007A5486" w:rsidRPr="00AF2236" w:rsidRDefault="00343196" w:rsidP="007A5486">
      <w:pPr>
        <w:pStyle w:val="Bodym"/>
        <w:numPr>
          <w:ilvl w:val="1"/>
          <w:numId w:val="4"/>
        </w:numPr>
        <w:rPr>
          <w:rFonts w:asciiTheme="minorHAnsi" w:hAnsiTheme="minorHAnsi"/>
          <w:szCs w:val="22"/>
        </w:rPr>
      </w:pPr>
      <w:r w:rsidRPr="00AF2236">
        <w:t>Kõik õppeaineid puudutavad muudatused, sh nende ümber paigutamine tüüpõpingukavas, kooskõlastab programmijuht õppetööd läbi viivate struktuuriüksuste juhtidega. Programmijuht tagab vajalike kooskõlastuste olemasolu kirjalikku taasesitamist võimaldavas vormis. [jõustunud 01.01.2026]</w:t>
      </w:r>
    </w:p>
    <w:p w14:paraId="7C04C584" w14:textId="1D930872" w:rsidR="007A5486" w:rsidRPr="00AF2236" w:rsidRDefault="007A5486" w:rsidP="007A5486">
      <w:pPr>
        <w:pStyle w:val="Bodym"/>
        <w:numPr>
          <w:ilvl w:val="1"/>
          <w:numId w:val="4"/>
        </w:numPr>
        <w:rPr>
          <w:rFonts w:asciiTheme="minorHAnsi" w:hAnsiTheme="minorHAnsi" w:cstheme="minorBidi"/>
          <w:szCs w:val="22"/>
        </w:rPr>
      </w:pPr>
      <w:r w:rsidRPr="00AF2236">
        <w:rPr>
          <w:rFonts w:asciiTheme="minorHAnsi" w:hAnsiTheme="minorHAnsi" w:cstheme="minorBidi"/>
          <w:szCs w:val="22"/>
        </w:rPr>
        <w:t>Õppekava muudatusettepanekute esitamise ja kinnitamise tähtajad:</w:t>
      </w:r>
      <w:r w:rsidR="00B606AF" w:rsidRPr="00AF2236">
        <w:rPr>
          <w:rFonts w:asciiTheme="minorHAnsi" w:hAnsiTheme="minorHAnsi" w:cstheme="minorBidi"/>
          <w:szCs w:val="22"/>
        </w:rPr>
        <w:t xml:space="preserve"> [jõustunud 01.01.2026]</w:t>
      </w:r>
    </w:p>
    <w:tbl>
      <w:tblPr>
        <w:tblStyle w:val="TableGrid"/>
        <w:tblW w:w="9351" w:type="dxa"/>
        <w:tblLook w:val="04A0" w:firstRow="1" w:lastRow="0" w:firstColumn="1" w:lastColumn="0" w:noHBand="0" w:noVBand="1"/>
      </w:tblPr>
      <w:tblGrid>
        <w:gridCol w:w="3135"/>
        <w:gridCol w:w="3108"/>
        <w:gridCol w:w="3108"/>
      </w:tblGrid>
      <w:tr w:rsidR="00AF2236" w:rsidRPr="00AF2236" w14:paraId="7F99D516" w14:textId="77777777" w:rsidTr="00E40AE7">
        <w:tc>
          <w:tcPr>
            <w:tcW w:w="3135" w:type="dxa"/>
            <w:vAlign w:val="center"/>
          </w:tcPr>
          <w:p w14:paraId="6294BA60" w14:textId="77777777" w:rsidR="00B606AF" w:rsidRPr="00AF2236" w:rsidRDefault="00B606AF" w:rsidP="00E40AE7">
            <w:pPr>
              <w:spacing w:before="80"/>
              <w:jc w:val="center"/>
              <w:rPr>
                <w:rFonts w:asciiTheme="minorHAnsi" w:hAnsiTheme="minorHAnsi"/>
                <w:b/>
                <w:szCs w:val="22"/>
              </w:rPr>
            </w:pPr>
            <w:r w:rsidRPr="00AF2236">
              <w:rPr>
                <w:rFonts w:asciiTheme="minorHAnsi" w:hAnsiTheme="minorHAnsi"/>
                <w:b/>
                <w:szCs w:val="22"/>
              </w:rPr>
              <w:t>Muudatus</w:t>
            </w:r>
          </w:p>
        </w:tc>
        <w:tc>
          <w:tcPr>
            <w:tcW w:w="3108" w:type="dxa"/>
            <w:vAlign w:val="center"/>
          </w:tcPr>
          <w:p w14:paraId="7EBEDA1A" w14:textId="77777777" w:rsidR="00B606AF" w:rsidRPr="00AF2236" w:rsidRDefault="00B606AF" w:rsidP="00E40AE7">
            <w:pPr>
              <w:spacing w:before="80"/>
              <w:jc w:val="center"/>
              <w:rPr>
                <w:rFonts w:asciiTheme="minorHAnsi" w:hAnsiTheme="minorHAnsi"/>
                <w:b/>
                <w:szCs w:val="22"/>
              </w:rPr>
            </w:pPr>
            <w:r w:rsidRPr="00AF2236">
              <w:rPr>
                <w:rFonts w:asciiTheme="minorHAnsi" w:hAnsiTheme="minorHAnsi"/>
                <w:b/>
                <w:szCs w:val="22"/>
              </w:rPr>
              <w:t>Materjalid õppeosakonda*</w:t>
            </w:r>
          </w:p>
        </w:tc>
        <w:tc>
          <w:tcPr>
            <w:tcW w:w="3108" w:type="dxa"/>
            <w:vAlign w:val="center"/>
          </w:tcPr>
          <w:p w14:paraId="7AC2007E" w14:textId="77777777" w:rsidR="00B606AF" w:rsidRPr="00AF2236" w:rsidRDefault="00B606AF" w:rsidP="00E40AE7">
            <w:pPr>
              <w:spacing w:before="80"/>
              <w:jc w:val="center"/>
              <w:rPr>
                <w:rFonts w:asciiTheme="minorHAnsi" w:hAnsiTheme="minorHAnsi"/>
                <w:b/>
                <w:szCs w:val="22"/>
              </w:rPr>
            </w:pPr>
            <w:r w:rsidRPr="00AF2236">
              <w:rPr>
                <w:rFonts w:asciiTheme="minorHAnsi" w:hAnsiTheme="minorHAnsi"/>
                <w:b/>
                <w:szCs w:val="22"/>
              </w:rPr>
              <w:t>Teaduskonna nõukogu otsus</w:t>
            </w:r>
          </w:p>
        </w:tc>
      </w:tr>
      <w:tr w:rsidR="00AF2236" w:rsidRPr="00AF2236" w14:paraId="3CCB5C5E" w14:textId="77777777" w:rsidTr="00E40AE7">
        <w:trPr>
          <w:trHeight w:val="300"/>
        </w:trPr>
        <w:tc>
          <w:tcPr>
            <w:tcW w:w="3135" w:type="dxa"/>
            <w:vAlign w:val="center"/>
          </w:tcPr>
          <w:p w14:paraId="4B909BD0" w14:textId="77777777" w:rsidR="00B606AF" w:rsidRPr="00AF2236" w:rsidRDefault="00B606AF" w:rsidP="00E40AE7">
            <w:pPr>
              <w:spacing w:before="80"/>
              <w:rPr>
                <w:rFonts w:asciiTheme="minorHAnsi" w:hAnsiTheme="minorHAnsi"/>
                <w:szCs w:val="22"/>
              </w:rPr>
            </w:pPr>
            <w:r w:rsidRPr="00AF2236">
              <w:rPr>
                <w:rFonts w:asciiTheme="minorHAnsi" w:hAnsiTheme="minorHAnsi"/>
                <w:szCs w:val="22"/>
              </w:rPr>
              <w:t>Muudatus § 6 lg 1 ulatuses</w:t>
            </w:r>
          </w:p>
        </w:tc>
        <w:tc>
          <w:tcPr>
            <w:tcW w:w="6216" w:type="dxa"/>
            <w:gridSpan w:val="2"/>
            <w:vAlign w:val="center"/>
          </w:tcPr>
          <w:p w14:paraId="05B646EB"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eeltaotlus õppekava avamisele eelneva kalendriaasta 1. märts</w:t>
            </w:r>
          </w:p>
        </w:tc>
      </w:tr>
      <w:tr w:rsidR="00AF2236" w:rsidRPr="00AF2236" w14:paraId="2A3EB147" w14:textId="77777777" w:rsidTr="00E40AE7">
        <w:tc>
          <w:tcPr>
            <w:tcW w:w="3135" w:type="dxa"/>
            <w:vAlign w:val="center"/>
          </w:tcPr>
          <w:p w14:paraId="60A3686D" w14:textId="77777777" w:rsidR="00B606AF" w:rsidRPr="00AF2236" w:rsidRDefault="00B606AF" w:rsidP="00E40AE7">
            <w:pPr>
              <w:spacing w:before="80"/>
              <w:rPr>
                <w:rFonts w:asciiTheme="minorHAnsi" w:hAnsiTheme="minorHAnsi"/>
                <w:szCs w:val="22"/>
              </w:rPr>
            </w:pPr>
            <w:r w:rsidRPr="00AF2236">
              <w:rPr>
                <w:rFonts w:asciiTheme="minorHAnsi" w:hAnsiTheme="minorHAnsi"/>
                <w:szCs w:val="22"/>
              </w:rPr>
              <w:t>Uus versioon (muudetud)</w:t>
            </w:r>
          </w:p>
        </w:tc>
        <w:tc>
          <w:tcPr>
            <w:tcW w:w="3108" w:type="dxa"/>
            <w:vAlign w:val="center"/>
          </w:tcPr>
          <w:p w14:paraId="77E9F51C"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25. jaanuar</w:t>
            </w:r>
          </w:p>
        </w:tc>
        <w:tc>
          <w:tcPr>
            <w:tcW w:w="3108" w:type="dxa"/>
            <w:vAlign w:val="center"/>
          </w:tcPr>
          <w:p w14:paraId="656D395E"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20. veebruar</w:t>
            </w:r>
          </w:p>
        </w:tc>
      </w:tr>
      <w:tr w:rsidR="00AF2236" w:rsidRPr="00AF2236" w14:paraId="6704C4C3" w14:textId="77777777" w:rsidTr="00E40AE7">
        <w:trPr>
          <w:trHeight w:val="300"/>
        </w:trPr>
        <w:tc>
          <w:tcPr>
            <w:tcW w:w="3135" w:type="dxa"/>
            <w:vAlign w:val="center"/>
          </w:tcPr>
          <w:p w14:paraId="4223BA5F" w14:textId="77777777" w:rsidR="00B606AF" w:rsidRPr="00AF2236" w:rsidRDefault="00B606AF" w:rsidP="00E40AE7">
            <w:pPr>
              <w:spacing w:before="80"/>
              <w:rPr>
                <w:rFonts w:asciiTheme="minorHAnsi" w:hAnsiTheme="minorHAnsi"/>
                <w:szCs w:val="22"/>
              </w:rPr>
            </w:pPr>
            <w:r w:rsidRPr="00AF2236">
              <w:rPr>
                <w:rFonts w:asciiTheme="minorHAnsi" w:hAnsiTheme="minorHAnsi"/>
                <w:szCs w:val="22"/>
              </w:rPr>
              <w:t>Uus versioon (muudatusteta)</w:t>
            </w:r>
          </w:p>
        </w:tc>
        <w:tc>
          <w:tcPr>
            <w:tcW w:w="3108" w:type="dxa"/>
            <w:vAlign w:val="center"/>
          </w:tcPr>
          <w:p w14:paraId="6FB1B696"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 xml:space="preserve">20. jaanuariks kinnitada versioon </w:t>
            </w:r>
            <w:proofErr w:type="spellStart"/>
            <w:r w:rsidRPr="00AF2236">
              <w:rPr>
                <w:rFonts w:asciiTheme="minorHAnsi" w:hAnsiTheme="minorHAnsi"/>
                <w:szCs w:val="22"/>
              </w:rPr>
              <w:t>ÕIS-is</w:t>
            </w:r>
            <w:proofErr w:type="spellEnd"/>
          </w:p>
        </w:tc>
        <w:tc>
          <w:tcPr>
            <w:tcW w:w="3108" w:type="dxa"/>
            <w:vAlign w:val="center"/>
          </w:tcPr>
          <w:p w14:paraId="0FB67DCC"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w:t>
            </w:r>
          </w:p>
        </w:tc>
      </w:tr>
      <w:tr w:rsidR="00AF2236" w:rsidRPr="00AF2236" w14:paraId="751E3661" w14:textId="77777777" w:rsidTr="00E40AE7">
        <w:tc>
          <w:tcPr>
            <w:tcW w:w="3135" w:type="dxa"/>
            <w:vAlign w:val="center"/>
          </w:tcPr>
          <w:p w14:paraId="3CFD5BE2" w14:textId="77777777" w:rsidR="00B606AF" w:rsidRPr="00AF2236" w:rsidRDefault="00B606AF" w:rsidP="00E40AE7">
            <w:pPr>
              <w:spacing w:before="80"/>
              <w:rPr>
                <w:rFonts w:asciiTheme="minorHAnsi" w:hAnsiTheme="minorHAnsi"/>
                <w:szCs w:val="22"/>
              </w:rPr>
            </w:pPr>
            <w:r w:rsidRPr="00AF2236">
              <w:rPr>
                <w:rFonts w:asciiTheme="minorHAnsi" w:hAnsiTheme="minorHAnsi"/>
                <w:szCs w:val="22"/>
              </w:rPr>
              <w:t>Uus versioon § 6 lg 4 muudatustega</w:t>
            </w:r>
          </w:p>
        </w:tc>
        <w:tc>
          <w:tcPr>
            <w:tcW w:w="3108" w:type="dxa"/>
            <w:vAlign w:val="center"/>
          </w:tcPr>
          <w:p w14:paraId="5EBACE48"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15. november</w:t>
            </w:r>
          </w:p>
        </w:tc>
        <w:tc>
          <w:tcPr>
            <w:tcW w:w="3108" w:type="dxa"/>
            <w:vAlign w:val="center"/>
          </w:tcPr>
          <w:p w14:paraId="3F88908D"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30. november</w:t>
            </w:r>
          </w:p>
        </w:tc>
      </w:tr>
      <w:tr w:rsidR="00AF2236" w:rsidRPr="00AF2236" w14:paraId="0F67A8B4" w14:textId="77777777" w:rsidTr="00E40AE7">
        <w:tc>
          <w:tcPr>
            <w:tcW w:w="3135" w:type="dxa"/>
            <w:vAlign w:val="center"/>
          </w:tcPr>
          <w:p w14:paraId="23191A2E" w14:textId="77777777" w:rsidR="00B606AF" w:rsidRPr="00AF2236" w:rsidRDefault="00B606AF" w:rsidP="00E40AE7">
            <w:pPr>
              <w:spacing w:before="80"/>
              <w:rPr>
                <w:rFonts w:asciiTheme="minorHAnsi" w:hAnsiTheme="minorHAnsi"/>
                <w:szCs w:val="22"/>
              </w:rPr>
            </w:pPr>
            <w:r w:rsidRPr="00AF2236">
              <w:rPr>
                <w:rFonts w:asciiTheme="minorHAnsi" w:hAnsiTheme="minorHAnsi"/>
                <w:szCs w:val="22"/>
              </w:rPr>
              <w:t>Kehtiv versioon</w:t>
            </w:r>
          </w:p>
        </w:tc>
        <w:tc>
          <w:tcPr>
            <w:tcW w:w="3108" w:type="dxa"/>
            <w:vAlign w:val="center"/>
          </w:tcPr>
          <w:p w14:paraId="150E22C4" w14:textId="77777777" w:rsidR="00B606AF" w:rsidRPr="00AF2236" w:rsidRDefault="00B606AF" w:rsidP="00E40AE7">
            <w:pPr>
              <w:spacing w:before="80"/>
              <w:jc w:val="center"/>
              <w:rPr>
                <w:rFonts w:asciiTheme="minorHAnsi" w:hAnsiTheme="minorHAnsi"/>
                <w:szCs w:val="22"/>
              </w:rPr>
            </w:pPr>
            <w:r w:rsidRPr="00AF2236">
              <w:rPr>
                <w:rFonts w:asciiTheme="minorHAnsi" w:hAnsiTheme="minorHAnsi"/>
                <w:szCs w:val="22"/>
              </w:rPr>
              <w:t>5. september / 25. jaanuar</w:t>
            </w:r>
          </w:p>
        </w:tc>
        <w:tc>
          <w:tcPr>
            <w:tcW w:w="3108" w:type="dxa"/>
            <w:vAlign w:val="center"/>
          </w:tcPr>
          <w:p w14:paraId="5A587AB0" w14:textId="77777777" w:rsidR="00B606AF" w:rsidRPr="00AF2236" w:rsidRDefault="00B606AF" w:rsidP="00E40AE7">
            <w:pPr>
              <w:spacing w:before="80"/>
              <w:rPr>
                <w:rFonts w:asciiTheme="minorHAnsi" w:hAnsiTheme="minorHAnsi"/>
              </w:rPr>
            </w:pPr>
            <w:r w:rsidRPr="00AF2236">
              <w:rPr>
                <w:rFonts w:asciiTheme="minorHAnsi" w:hAnsiTheme="minorHAnsi"/>
              </w:rPr>
              <w:t>20. september / 20. veebruar</w:t>
            </w:r>
          </w:p>
        </w:tc>
      </w:tr>
    </w:tbl>
    <w:p w14:paraId="28CD1B67" w14:textId="77777777" w:rsidR="007A5486" w:rsidRPr="00AF2236" w:rsidRDefault="007A5486" w:rsidP="007A5486">
      <w:pPr>
        <w:pStyle w:val="Loetelum"/>
        <w:numPr>
          <w:ilvl w:val="0"/>
          <w:numId w:val="0"/>
        </w:numPr>
        <w:ind w:left="142"/>
        <w:rPr>
          <w:rFonts w:cs="Calibri"/>
          <w:b w:val="0"/>
          <w:bCs/>
        </w:rPr>
      </w:pPr>
      <w:r w:rsidRPr="00AF2236">
        <w:rPr>
          <w:rFonts w:cs="Calibri"/>
          <w:b w:val="0"/>
          <w:bCs/>
        </w:rPr>
        <w:t>*seletuskiri, uue versiooni kavand ja/või uued ainekavad õppeinfosüsteemis</w:t>
      </w:r>
    </w:p>
    <w:p w14:paraId="5FA10526" w14:textId="77777777" w:rsidR="007A5486" w:rsidRPr="00AF2236" w:rsidRDefault="007A5486" w:rsidP="007A5486">
      <w:pPr>
        <w:pStyle w:val="Loetelum"/>
        <w:numPr>
          <w:ilvl w:val="0"/>
          <w:numId w:val="4"/>
        </w:numPr>
        <w:ind w:left="0"/>
        <w:rPr>
          <w:rFonts w:asciiTheme="minorHAnsi" w:hAnsiTheme="minorHAnsi"/>
          <w:szCs w:val="22"/>
        </w:rPr>
      </w:pPr>
      <w:r w:rsidRPr="00AF2236">
        <w:rPr>
          <w:rFonts w:asciiTheme="minorHAnsi" w:hAnsiTheme="minorHAnsi"/>
          <w:szCs w:val="22"/>
        </w:rPr>
        <w:t>Õppekava sulgemine</w:t>
      </w:r>
    </w:p>
    <w:p w14:paraId="3F4F6EA0"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Õppekava sulgemine tähendab õppetöö lõpetamist konkreetse õppekava alusel. Suletud õppekava alusel ei saa ülikool väljastada lõpudokumente.</w:t>
      </w:r>
    </w:p>
    <w:p w14:paraId="6553D893"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 xml:space="preserve">Õppekava sulgemise otsustab ülikooli senat õppeprorektori (doktoriõppe puhul teadusprorektori) ettepanekul, kuulates ära teaduskonna nõukogu seisukoha. </w:t>
      </w:r>
    </w:p>
    <w:p w14:paraId="5CA8612F"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 xml:space="preserve">Õppekava sulgemisele eelneb vastuvõtu lõpetamine. Õppeprorektor teeb ettepaneku lõpetada vastuvõtt, kui viimasel kolmel aastal on: </w:t>
      </w:r>
    </w:p>
    <w:p w14:paraId="42A5237D" w14:textId="77777777" w:rsidR="007A5486" w:rsidRPr="00AF2236" w:rsidRDefault="007A5486" w:rsidP="007A5486">
      <w:pPr>
        <w:pStyle w:val="Bodym1"/>
        <w:numPr>
          <w:ilvl w:val="2"/>
          <w:numId w:val="4"/>
        </w:numPr>
        <w:rPr>
          <w:rFonts w:asciiTheme="minorHAnsi" w:hAnsiTheme="minorHAnsi" w:cstheme="minorBidi"/>
          <w:szCs w:val="22"/>
        </w:rPr>
      </w:pPr>
      <w:r w:rsidRPr="00AF2236">
        <w:rPr>
          <w:rFonts w:asciiTheme="minorHAnsi" w:hAnsiTheme="minorHAnsi" w:cstheme="minorBidi"/>
          <w:szCs w:val="22"/>
        </w:rPr>
        <w:t>üliõpilaste vastuvõtt olnud esimese astme õppekava puhul vähem kui 15 üliõpilast peaeriala kohta ja teise astme õppekava puhul vähem kui 10 üliõpilast peaeriala kohta;</w:t>
      </w:r>
      <w:r w:rsidRPr="00AF2236">
        <w:rPr>
          <w:rFonts w:asciiTheme="minorHAnsi" w:hAnsiTheme="minorHAnsi"/>
          <w:szCs w:val="22"/>
        </w:rPr>
        <w:t xml:space="preserve"> </w:t>
      </w:r>
    </w:p>
    <w:p w14:paraId="544F3CF7" w14:textId="77777777" w:rsidR="007A5486" w:rsidRPr="00AF2236" w:rsidRDefault="007A5486" w:rsidP="007A5486">
      <w:pPr>
        <w:pStyle w:val="Bodym1"/>
        <w:numPr>
          <w:ilvl w:val="2"/>
          <w:numId w:val="4"/>
        </w:numPr>
      </w:pPr>
      <w:r w:rsidRPr="00AF2236">
        <w:rPr>
          <w:rFonts w:asciiTheme="minorHAnsi" w:hAnsiTheme="minorHAnsi"/>
          <w:szCs w:val="22"/>
        </w:rPr>
        <w:t>lõpetajate osakaal alla 25% üliõpilastest (v.a doktoriõppe puhul), kes õppekavale selle nominaalkestuse aeg tagasi vastu võeti.</w:t>
      </w:r>
    </w:p>
    <w:p w14:paraId="7EE29F4D" w14:textId="77777777" w:rsidR="007A5486" w:rsidRPr="00AF2236" w:rsidRDefault="007A5486" w:rsidP="007A5486">
      <w:pPr>
        <w:pStyle w:val="Bodym"/>
        <w:numPr>
          <w:ilvl w:val="1"/>
          <w:numId w:val="4"/>
        </w:numPr>
        <w:rPr>
          <w:rFonts w:asciiTheme="minorHAnsi" w:hAnsiTheme="minorHAnsi"/>
          <w:szCs w:val="22"/>
        </w:rPr>
      </w:pPr>
      <w:r w:rsidRPr="00AF2236">
        <w:rPr>
          <w:rFonts w:asciiTheme="minorHAnsi" w:hAnsiTheme="minorHAnsi"/>
          <w:szCs w:val="22"/>
        </w:rPr>
        <w:t>Õppekava tüüpõpingukava järgne õpetamine lõpetatakse pärast õppekava nominaalkestuse möödumist viimasest vastuvõtust. Üliõpilastele pakutakse võimalust jätkata õpinguid lähedase õppesuuna õppekaval.</w:t>
      </w:r>
    </w:p>
    <w:p w14:paraId="5706496D" w14:textId="77777777" w:rsidR="007A5486" w:rsidRPr="00AF2236" w:rsidRDefault="007A5486" w:rsidP="007A5486">
      <w:pPr>
        <w:pStyle w:val="Loetelum"/>
        <w:numPr>
          <w:ilvl w:val="0"/>
          <w:numId w:val="4"/>
        </w:numPr>
        <w:ind w:left="0"/>
        <w:rPr>
          <w:rFonts w:asciiTheme="minorHAnsi" w:hAnsiTheme="minorHAnsi" w:cstheme="minorHAnsi"/>
        </w:rPr>
      </w:pPr>
      <w:r w:rsidRPr="00AF2236">
        <w:rPr>
          <w:rFonts w:asciiTheme="minorHAnsi" w:hAnsiTheme="minorHAnsi" w:cstheme="minorHAnsi"/>
        </w:rPr>
        <w:t>Erisused statuudis nimetatud nõuetest</w:t>
      </w:r>
    </w:p>
    <w:p w14:paraId="273BCF90" w14:textId="77777777" w:rsidR="007A5486" w:rsidRPr="00AF2236" w:rsidRDefault="007A5486" w:rsidP="007A5486">
      <w:pPr>
        <w:pStyle w:val="Bodym"/>
        <w:numPr>
          <w:ilvl w:val="0"/>
          <w:numId w:val="0"/>
        </w:numPr>
        <w:rPr>
          <w:rFonts w:asciiTheme="minorHAnsi" w:hAnsiTheme="minorHAnsi"/>
          <w:szCs w:val="22"/>
        </w:rPr>
      </w:pPr>
      <w:r w:rsidRPr="00AF2236">
        <w:rPr>
          <w:rFonts w:asciiTheme="minorHAnsi" w:hAnsiTheme="minorHAnsi"/>
          <w:szCs w:val="22"/>
        </w:rPr>
        <w:t>Põhjendatud juhtudel võib ülikooli senat õppekavade muutmisel lubada erisusi statuudis nimetatud nõuetest.</w:t>
      </w:r>
    </w:p>
    <w:p w14:paraId="3C968F8B" w14:textId="77777777" w:rsidR="007A5486" w:rsidRPr="00AF2236" w:rsidRDefault="007A5486" w:rsidP="007A5486">
      <w:pPr>
        <w:pStyle w:val="Heading1"/>
        <w:rPr>
          <w:rFonts w:asciiTheme="minorHAnsi" w:hAnsiTheme="minorHAnsi" w:cstheme="minorHAnsi"/>
          <w:szCs w:val="28"/>
        </w:rPr>
      </w:pPr>
      <w:r w:rsidRPr="00AF2236">
        <w:br/>
      </w:r>
      <w:r w:rsidRPr="00AF2236">
        <w:rPr>
          <w:rFonts w:asciiTheme="minorHAnsi" w:hAnsiTheme="minorHAnsi" w:cstheme="minorBidi"/>
          <w:szCs w:val="22"/>
        </w:rPr>
        <w:t>RAKENDUSSÄTTED</w:t>
      </w:r>
    </w:p>
    <w:p w14:paraId="770DA53A" w14:textId="6EDEF941" w:rsidR="007A5486" w:rsidRPr="00AF2236" w:rsidRDefault="007A5486" w:rsidP="00F44074">
      <w:pPr>
        <w:pStyle w:val="Loetelum"/>
        <w:numPr>
          <w:ilvl w:val="0"/>
          <w:numId w:val="4"/>
        </w:numPr>
        <w:ind w:left="0"/>
        <w:rPr>
          <w:rFonts w:asciiTheme="minorHAnsi" w:hAnsiTheme="minorHAnsi"/>
          <w:szCs w:val="22"/>
        </w:rPr>
      </w:pPr>
      <w:r w:rsidRPr="00AF2236">
        <w:rPr>
          <w:rFonts w:asciiTheme="minorHAnsi" w:hAnsiTheme="minorHAnsi"/>
          <w:szCs w:val="22"/>
        </w:rPr>
        <w:t>Rakendussätted</w:t>
      </w:r>
    </w:p>
    <w:p w14:paraId="6188AB30" w14:textId="77777777" w:rsidR="007A5486" w:rsidRPr="00AF2236" w:rsidRDefault="007A5486" w:rsidP="007A5486">
      <w:pPr>
        <w:pStyle w:val="Bodym"/>
        <w:numPr>
          <w:ilvl w:val="1"/>
          <w:numId w:val="4"/>
        </w:numPr>
        <w:rPr>
          <w:rFonts w:asciiTheme="minorHAnsi" w:eastAsiaTheme="minorEastAsia" w:hAnsiTheme="minorHAnsi" w:cstheme="minorHAnsi"/>
          <w:b/>
        </w:rPr>
      </w:pPr>
      <w:r w:rsidRPr="00AF2236">
        <w:rPr>
          <w:rFonts w:asciiTheme="minorHAnsi" w:eastAsiaTheme="minorEastAsia" w:hAnsiTheme="minorHAnsi" w:cstheme="minorHAnsi"/>
        </w:rPr>
        <w:t>Määrus jõustub 1. jaanuaril 2025.</w:t>
      </w:r>
    </w:p>
    <w:p w14:paraId="531C39DC" w14:textId="77777777" w:rsidR="007A5486" w:rsidRPr="00AF2236" w:rsidRDefault="007A5486" w:rsidP="007A5486">
      <w:pPr>
        <w:pStyle w:val="Bodym"/>
        <w:numPr>
          <w:ilvl w:val="1"/>
          <w:numId w:val="4"/>
        </w:numPr>
        <w:rPr>
          <w:rFonts w:asciiTheme="minorHAnsi" w:eastAsiaTheme="minorEastAsia" w:hAnsiTheme="minorHAnsi" w:cstheme="minorBidi"/>
          <w:b/>
          <w:bCs/>
          <w:szCs w:val="22"/>
        </w:rPr>
      </w:pPr>
      <w:r w:rsidRPr="00AF2236">
        <w:rPr>
          <w:rFonts w:asciiTheme="minorHAnsi" w:eastAsiaTheme="minorEastAsia" w:hAnsiTheme="minorHAnsi" w:cstheme="minorBidi"/>
          <w:szCs w:val="22"/>
        </w:rPr>
        <w:t>Õppekavad viiakse määruse § 3 lg 5 punktidega 1 ja 2 ning lg 6 punktiga 2 kooskõlla hiljemalt 2028/2029. õppeaastaks.</w:t>
      </w:r>
    </w:p>
    <w:p w14:paraId="76D14217" w14:textId="7CE49C90" w:rsidR="006E63F7" w:rsidRPr="00AF2236" w:rsidRDefault="007A5486" w:rsidP="007A5486">
      <w:pPr>
        <w:pStyle w:val="Bodym"/>
        <w:numPr>
          <w:ilvl w:val="1"/>
          <w:numId w:val="4"/>
        </w:numPr>
        <w:rPr>
          <w:rFonts w:asciiTheme="minorHAnsi" w:eastAsiaTheme="minorEastAsia" w:hAnsiTheme="minorHAnsi" w:cstheme="minorBidi"/>
          <w:b/>
          <w:bCs/>
          <w:szCs w:val="22"/>
        </w:rPr>
      </w:pPr>
      <w:r w:rsidRPr="00AF2236">
        <w:rPr>
          <w:rFonts w:asciiTheme="minorHAnsi" w:eastAsiaTheme="minorEastAsia" w:hAnsiTheme="minorHAnsi" w:cstheme="minorHAnsi"/>
        </w:rPr>
        <w:t>Tunnistatakse kehtetuks Tallinna Tehnikaülikooli senati 19.04.2016 määrus nr 2 “Õppekava statuut”.</w:t>
      </w:r>
    </w:p>
    <w:p w14:paraId="4B0C6341" w14:textId="77777777" w:rsidR="008018DF" w:rsidRPr="00AF2236" w:rsidRDefault="008018DF" w:rsidP="00114982">
      <w:pPr>
        <w:tabs>
          <w:tab w:val="left" w:pos="7200"/>
        </w:tabs>
      </w:pPr>
    </w:p>
    <w:sectPr w:rsidR="008018DF" w:rsidRPr="00AF2236" w:rsidSect="0084347C">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2E96" w14:textId="77777777" w:rsidR="00491D22" w:rsidRDefault="00491D22">
      <w:r>
        <w:separator/>
      </w:r>
    </w:p>
  </w:endnote>
  <w:endnote w:type="continuationSeparator" w:id="0">
    <w:p w14:paraId="1EA5BD99" w14:textId="77777777" w:rsidR="00491D22" w:rsidRDefault="0049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1C79"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742D45"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EDC4" w14:textId="77777777" w:rsidR="00491D22" w:rsidRDefault="00491D22">
      <w:r>
        <w:separator/>
      </w:r>
    </w:p>
  </w:footnote>
  <w:footnote w:type="continuationSeparator" w:id="0">
    <w:p w14:paraId="26E59596" w14:textId="77777777" w:rsidR="00491D22" w:rsidRDefault="0049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B6E2" w14:textId="69F010DF"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0DB">
      <w:rPr>
        <w:rStyle w:val="PageNumber"/>
        <w:noProof/>
      </w:rPr>
      <w:t>2</w:t>
    </w:r>
    <w:r>
      <w:rPr>
        <w:rStyle w:val="PageNumber"/>
      </w:rPr>
      <w:fldChar w:fldCharType="end"/>
    </w:r>
  </w:p>
  <w:p w14:paraId="7ACDD2F1"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5132E89E" w14:textId="77777777" w:rsidR="0084347C" w:rsidRDefault="0084347C">
        <w:pPr>
          <w:pStyle w:val="Header"/>
          <w:jc w:val="center"/>
        </w:pPr>
        <w:r>
          <w:fldChar w:fldCharType="begin"/>
        </w:r>
        <w:r>
          <w:instrText>PAGE   \* MERGEFORMAT</w:instrText>
        </w:r>
        <w:r>
          <w:fldChar w:fldCharType="separate"/>
        </w:r>
        <w:r w:rsidR="0003029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CCF44576"/>
    <w:lvl w:ilvl="0">
      <w:start w:val="1"/>
      <w:numFmt w:val="decimal"/>
      <w:pStyle w:val="Loetelum"/>
      <w:suff w:val="space"/>
      <w:lvlText w:val="§ %1. "/>
      <w:lvlJc w:val="left"/>
      <w:pPr>
        <w:ind w:left="142" w:firstLine="0"/>
      </w:pPr>
      <w:rPr>
        <w:rFonts w:hint="default"/>
        <w:b/>
        <w:i w:val="0"/>
      </w:rPr>
    </w:lvl>
    <w:lvl w:ilvl="1">
      <w:start w:val="1"/>
      <w:numFmt w:val="decimal"/>
      <w:pStyle w:val="Bodym"/>
      <w:suff w:val="space"/>
      <w:lvlText w:val="(%2)"/>
      <w:lvlJc w:val="left"/>
      <w:pPr>
        <w:ind w:left="0" w:firstLine="0"/>
      </w:pPr>
      <w:rPr>
        <w:rFonts w:hint="default"/>
        <w:b w:val="0"/>
        <w:bCs w:val="0"/>
        <w:color w:val="auto"/>
      </w:rPr>
    </w:lvl>
    <w:lvl w:ilvl="2">
      <w:start w:val="1"/>
      <w:numFmt w:val="decimal"/>
      <w:pStyle w:val="Bodym1"/>
      <w:suff w:val="space"/>
      <w:lvlText w:val="%3)"/>
      <w:lvlJc w:val="left"/>
      <w:pPr>
        <w:ind w:left="0" w:firstLine="0"/>
      </w:pPr>
      <w:rPr>
        <w:rFonts w:hint="default"/>
        <w:sz w:val="22"/>
        <w:szCs w:val="22"/>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32E0D77"/>
    <w:multiLevelType w:val="hybridMultilevel"/>
    <w:tmpl w:val="85BE525A"/>
    <w:lvl w:ilvl="0" w:tplc="FFFFFFFF">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46586180">
    <w:abstractNumId w:val="3"/>
  </w:num>
  <w:num w:numId="2" w16cid:durableId="1429545306">
    <w:abstractNumId w:val="5"/>
  </w:num>
  <w:num w:numId="3" w16cid:durableId="1163009581">
    <w:abstractNumId w:val="0"/>
  </w:num>
  <w:num w:numId="4" w16cid:durableId="280041278">
    <w:abstractNumId w:val="1"/>
  </w:num>
  <w:num w:numId="5" w16cid:durableId="1536767064">
    <w:abstractNumId w:val="1"/>
  </w:num>
  <w:num w:numId="6" w16cid:durableId="1631587959">
    <w:abstractNumId w:val="1"/>
  </w:num>
  <w:num w:numId="7" w16cid:durableId="1723366566">
    <w:abstractNumId w:val="1"/>
  </w:num>
  <w:num w:numId="8" w16cid:durableId="817695872">
    <w:abstractNumId w:val="2"/>
  </w:num>
  <w:num w:numId="9" w16cid:durableId="1221208034">
    <w:abstractNumId w:val="1"/>
  </w:num>
  <w:num w:numId="10" w16cid:durableId="1511992439">
    <w:abstractNumId w:val="1"/>
  </w:num>
  <w:num w:numId="11" w16cid:durableId="1877355508">
    <w:abstractNumId w:val="1"/>
  </w:num>
  <w:num w:numId="12" w16cid:durableId="937911588">
    <w:abstractNumId w:val="1"/>
  </w:num>
  <w:num w:numId="13" w16cid:durableId="80375907">
    <w:abstractNumId w:val="1"/>
  </w:num>
  <w:num w:numId="14" w16cid:durableId="298533614">
    <w:abstractNumId w:val="4"/>
  </w:num>
  <w:num w:numId="15" w16cid:durableId="93120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86"/>
    <w:rsid w:val="00022956"/>
    <w:rsid w:val="00030292"/>
    <w:rsid w:val="00045E22"/>
    <w:rsid w:val="00056A9C"/>
    <w:rsid w:val="00077345"/>
    <w:rsid w:val="000B146F"/>
    <w:rsid w:val="000D7B48"/>
    <w:rsid w:val="000E0598"/>
    <w:rsid w:val="00114982"/>
    <w:rsid w:val="00136C3A"/>
    <w:rsid w:val="00181A1C"/>
    <w:rsid w:val="00185310"/>
    <w:rsid w:val="001873E4"/>
    <w:rsid w:val="001A7CAB"/>
    <w:rsid w:val="001E30C3"/>
    <w:rsid w:val="00200083"/>
    <w:rsid w:val="00210F74"/>
    <w:rsid w:val="00245E2F"/>
    <w:rsid w:val="002A09CC"/>
    <w:rsid w:val="002C60A6"/>
    <w:rsid w:val="002D00F6"/>
    <w:rsid w:val="002F3AE3"/>
    <w:rsid w:val="0031245F"/>
    <w:rsid w:val="003159EB"/>
    <w:rsid w:val="00322AC0"/>
    <w:rsid w:val="003359E5"/>
    <w:rsid w:val="00343196"/>
    <w:rsid w:val="00344B49"/>
    <w:rsid w:val="0037162D"/>
    <w:rsid w:val="00391473"/>
    <w:rsid w:val="003D2865"/>
    <w:rsid w:val="003E0055"/>
    <w:rsid w:val="004012EB"/>
    <w:rsid w:val="0040333E"/>
    <w:rsid w:val="0040530C"/>
    <w:rsid w:val="0040547F"/>
    <w:rsid w:val="004107CA"/>
    <w:rsid w:val="0042252F"/>
    <w:rsid w:val="00431C43"/>
    <w:rsid w:val="00453FC0"/>
    <w:rsid w:val="004555CC"/>
    <w:rsid w:val="00466707"/>
    <w:rsid w:val="00485C13"/>
    <w:rsid w:val="00491D22"/>
    <w:rsid w:val="004B0E0D"/>
    <w:rsid w:val="004B2641"/>
    <w:rsid w:val="004B6534"/>
    <w:rsid w:val="004D6D78"/>
    <w:rsid w:val="004E660B"/>
    <w:rsid w:val="00543BFE"/>
    <w:rsid w:val="005715BF"/>
    <w:rsid w:val="00576B64"/>
    <w:rsid w:val="00577F41"/>
    <w:rsid w:val="00587ED2"/>
    <w:rsid w:val="005B5DA0"/>
    <w:rsid w:val="005D0C0E"/>
    <w:rsid w:val="00652878"/>
    <w:rsid w:val="00655B65"/>
    <w:rsid w:val="00683048"/>
    <w:rsid w:val="00685B50"/>
    <w:rsid w:val="00685D9B"/>
    <w:rsid w:val="006C452A"/>
    <w:rsid w:val="006E1CF0"/>
    <w:rsid w:val="006E3F85"/>
    <w:rsid w:val="006E63F7"/>
    <w:rsid w:val="006F4067"/>
    <w:rsid w:val="00714988"/>
    <w:rsid w:val="007174FE"/>
    <w:rsid w:val="0074053D"/>
    <w:rsid w:val="007820B3"/>
    <w:rsid w:val="00784674"/>
    <w:rsid w:val="00796BD0"/>
    <w:rsid w:val="007A03CB"/>
    <w:rsid w:val="007A5486"/>
    <w:rsid w:val="007D486B"/>
    <w:rsid w:val="008018DF"/>
    <w:rsid w:val="00824B27"/>
    <w:rsid w:val="00832D31"/>
    <w:rsid w:val="0084347C"/>
    <w:rsid w:val="00870F2D"/>
    <w:rsid w:val="008B31B5"/>
    <w:rsid w:val="008C33A6"/>
    <w:rsid w:val="008F2D25"/>
    <w:rsid w:val="008F4EDB"/>
    <w:rsid w:val="00900F04"/>
    <w:rsid w:val="009163E3"/>
    <w:rsid w:val="009745AE"/>
    <w:rsid w:val="009843A1"/>
    <w:rsid w:val="009C6F1C"/>
    <w:rsid w:val="009E44AB"/>
    <w:rsid w:val="00A16004"/>
    <w:rsid w:val="00A204FA"/>
    <w:rsid w:val="00A20B20"/>
    <w:rsid w:val="00A21113"/>
    <w:rsid w:val="00A40EDE"/>
    <w:rsid w:val="00A77BDA"/>
    <w:rsid w:val="00A87E67"/>
    <w:rsid w:val="00AA13D1"/>
    <w:rsid w:val="00AA3C18"/>
    <w:rsid w:val="00AA6EBA"/>
    <w:rsid w:val="00AD4F2A"/>
    <w:rsid w:val="00AD5505"/>
    <w:rsid w:val="00AD6477"/>
    <w:rsid w:val="00AF2236"/>
    <w:rsid w:val="00B15B70"/>
    <w:rsid w:val="00B23D2E"/>
    <w:rsid w:val="00B512BB"/>
    <w:rsid w:val="00B606AF"/>
    <w:rsid w:val="00B666E3"/>
    <w:rsid w:val="00B67AAA"/>
    <w:rsid w:val="00B937B6"/>
    <w:rsid w:val="00BC75A6"/>
    <w:rsid w:val="00BF6405"/>
    <w:rsid w:val="00C11D43"/>
    <w:rsid w:val="00C36459"/>
    <w:rsid w:val="00C51C87"/>
    <w:rsid w:val="00C570F2"/>
    <w:rsid w:val="00CC0123"/>
    <w:rsid w:val="00CE2317"/>
    <w:rsid w:val="00CE5D1C"/>
    <w:rsid w:val="00CF6EFF"/>
    <w:rsid w:val="00D10066"/>
    <w:rsid w:val="00D20826"/>
    <w:rsid w:val="00D514F1"/>
    <w:rsid w:val="00D73B85"/>
    <w:rsid w:val="00D7618C"/>
    <w:rsid w:val="00D803FE"/>
    <w:rsid w:val="00D82C55"/>
    <w:rsid w:val="00D84724"/>
    <w:rsid w:val="00D86176"/>
    <w:rsid w:val="00D873C8"/>
    <w:rsid w:val="00DA41AF"/>
    <w:rsid w:val="00DD488F"/>
    <w:rsid w:val="00E100DB"/>
    <w:rsid w:val="00E22D1C"/>
    <w:rsid w:val="00E35C69"/>
    <w:rsid w:val="00E77564"/>
    <w:rsid w:val="00E825F5"/>
    <w:rsid w:val="00EB357F"/>
    <w:rsid w:val="00EB3D47"/>
    <w:rsid w:val="00F33C01"/>
    <w:rsid w:val="00F44074"/>
    <w:rsid w:val="00F50E19"/>
    <w:rsid w:val="00F75D96"/>
    <w:rsid w:val="00F875F9"/>
    <w:rsid w:val="00F91E6B"/>
    <w:rsid w:val="00F94F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4DE1F8C6"/>
  <w15:docId w15:val="{D6AC0DF4-4461-4470-BCC4-2850E835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character" w:styleId="FootnoteReference">
    <w:name w:val="footnote reference"/>
    <w:basedOn w:val="DefaultParagraphFont"/>
    <w:uiPriority w:val="99"/>
    <w:semiHidden/>
    <w:unhideWhenUsed/>
    <w:rsid w:val="007A5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9195">
      <w:bodyDiv w:val="1"/>
      <w:marLeft w:val="0"/>
      <w:marRight w:val="0"/>
      <w:marTop w:val="0"/>
      <w:marBottom w:val="0"/>
      <w:divBdr>
        <w:top w:val="none" w:sz="0" w:space="0" w:color="auto"/>
        <w:left w:val="none" w:sz="0" w:space="0" w:color="auto"/>
        <w:bottom w:val="none" w:sz="0" w:space="0" w:color="auto"/>
        <w:right w:val="none" w:sz="0" w:space="0" w:color="auto"/>
      </w:divBdr>
    </w:div>
    <w:div w:id="5698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oom\Downloads\Senati_maaru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F37F81358345BBF18940582FF4B8" ma:contentTypeVersion="16" ma:contentTypeDescription="Create a new document." ma:contentTypeScope="" ma:versionID="1cc6f96ce4bd99f28a5d7998dd39608e">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f4e17041c96646bf7b091452a74ca88d"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30A3C-4FCC-44D5-97A6-B80DC8172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60615-9112-4EEE-BDB9-11A417414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Senati_maarus (3)</Template>
  <TotalTime>0</TotalTime>
  <Pages>6</Pages>
  <Words>2420</Words>
  <Characters>14040</Characters>
  <Application>Microsoft Office Word</Application>
  <DocSecurity>0</DocSecurity>
  <Lines>117</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Tallinna Tehnikaülikool</vt:lpstr>
      <vt:lpstr>ÜLDSÄTTED</vt:lpstr>
      <vt:lpstr>BAKALAUREUSE-, RAKENDUSKÕRGHARIDUS-,  MAGISTRI- NING INTEGREERITUD BAKALAUREUSE</vt:lpstr>
      <vt:lpstr>DOKTORIÕPPE ÕPPEKAVA</vt:lpstr>
      <vt:lpstr>ÕPPEKAVA AVAMINE, MUUTMINE JA SULGEMINE</vt:lpstr>
      <vt:lpstr>RAKENDUSSÄTTED</vt:lpstr>
    </vt:vector>
  </TitlesOfParts>
  <Company>TTY  Informaatikainstituut</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Anne Toom</dc:creator>
  <cp:keywords/>
  <cp:lastModifiedBy>Kairi Schütz</cp:lastModifiedBy>
  <cp:revision>2</cp:revision>
  <cp:lastPrinted>2009-01-23T12:28:00Z</cp:lastPrinted>
  <dcterms:created xsi:type="dcterms:W3CDTF">2026-01-30T07:05:00Z</dcterms:created>
  <dcterms:modified xsi:type="dcterms:W3CDTF">2026-01-30T07:05:00Z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