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A350" w14:textId="6F4C501F" w:rsidR="003D7340" w:rsidRDefault="003D7340" w:rsidP="000502F0">
      <w:pPr>
        <w:pStyle w:val="Body"/>
        <w:jc w:val="right"/>
      </w:pPr>
      <w:bookmarkStart w:id="0" w:name="_Hlk168386226"/>
      <w:r>
        <w:t>ALGTEKST-TERVIKTEKST</w:t>
      </w:r>
    </w:p>
    <w:p w14:paraId="315DFCE9" w14:textId="0E6F73B8" w:rsidR="002D6A49" w:rsidRDefault="002D6A49" w:rsidP="003D7340">
      <w:pPr>
        <w:pStyle w:val="Body"/>
      </w:pPr>
      <w:r w:rsidRPr="00AB11BE">
        <w:t>K</w:t>
      </w:r>
      <w:r w:rsidR="003D7340">
        <w:t xml:space="preserve">innitatud </w:t>
      </w:r>
      <w:r w:rsidR="006B1DCB">
        <w:t>k</w:t>
      </w:r>
      <w:r w:rsidR="006B1DCB" w:rsidRPr="006B1DCB">
        <w:t>antsler</w:t>
      </w:r>
      <w:r w:rsidR="006B1DCB">
        <w:t xml:space="preserve">i </w:t>
      </w:r>
      <w:r w:rsidR="00DF0A76">
        <w:fldChar w:fldCharType="begin"/>
      </w:r>
      <w:r w:rsidR="00F26A50">
        <w:instrText xml:space="preserve"> delta_regDateTime  \* MERGEFORMAT</w:instrText>
      </w:r>
      <w:r w:rsidR="00DF0A76">
        <w:fldChar w:fldCharType="separate"/>
      </w:r>
      <w:r w:rsidR="00F26A50">
        <w:t>03.06.2024</w:t>
      </w:r>
      <w:r w:rsidR="00DF0A76">
        <w:fldChar w:fldCharType="end"/>
      </w:r>
      <w:r w:rsidR="003D7340">
        <w:t xml:space="preserve"> </w:t>
      </w:r>
      <w:r w:rsidRPr="00AB11BE">
        <w:t xml:space="preserve">korraldusega nr </w:t>
      </w:r>
      <w:r w:rsidR="00DF0A76">
        <w:fldChar w:fldCharType="begin"/>
      </w:r>
      <w:r w:rsidR="00F26A50">
        <w:instrText xml:space="preserve"> delta_regNumber</w:instrText>
      </w:r>
      <w:r w:rsidR="00DF0A76">
        <w:fldChar w:fldCharType="separate"/>
      </w:r>
      <w:r w:rsidR="00F26A50">
        <w:t>126</w:t>
      </w:r>
      <w:r w:rsidR="00DF0A76">
        <w:fldChar w:fldCharType="end"/>
      </w:r>
    </w:p>
    <w:p w14:paraId="78103EA9" w14:textId="77777777" w:rsidR="003D7340" w:rsidRDefault="003D7340" w:rsidP="003D7340">
      <w:pPr>
        <w:pStyle w:val="Body"/>
      </w:pPr>
    </w:p>
    <w:p w14:paraId="2E332588" w14:textId="78293E4B" w:rsidR="003D7340" w:rsidRDefault="003D7340" w:rsidP="003D7340">
      <w:pPr>
        <w:pStyle w:val="Body"/>
      </w:pPr>
      <w:r w:rsidRPr="003D7340">
        <w:t>Redaktsiooni jõustumise kuupäev: 03.0</w:t>
      </w:r>
      <w:r>
        <w:t>6.2024</w:t>
      </w:r>
    </w:p>
    <w:p w14:paraId="28ED5988" w14:textId="77777777" w:rsidR="006F46CD" w:rsidRPr="00AB11BE" w:rsidRDefault="006F46CD" w:rsidP="006677E6">
      <w:pPr>
        <w:pStyle w:val="Body"/>
        <w:jc w:val="both"/>
      </w:pPr>
    </w:p>
    <w:p w14:paraId="2C186E1F" w14:textId="77777777" w:rsidR="00501A29" w:rsidRDefault="00501A29" w:rsidP="006677E6">
      <w:pPr>
        <w:pStyle w:val="Title"/>
      </w:pPr>
      <w:r>
        <w:t>Turvanõrkuste haldamise kord</w:t>
      </w:r>
    </w:p>
    <w:sdt>
      <w:sdtPr>
        <w:rPr>
          <w:rFonts w:asciiTheme="minorHAnsi" w:eastAsiaTheme="minorHAnsi" w:hAnsiTheme="minorHAnsi" w:cstheme="minorBidi"/>
          <w:b w:val="0"/>
          <w:color w:val="auto"/>
          <w:sz w:val="22"/>
          <w:szCs w:val="22"/>
          <w:lang w:eastAsia="en-US"/>
        </w:rPr>
        <w:id w:val="718204839"/>
        <w:docPartObj>
          <w:docPartGallery w:val="Table of Contents"/>
          <w:docPartUnique/>
        </w:docPartObj>
      </w:sdtPr>
      <w:sdtEndPr/>
      <w:sdtContent>
        <w:p w14:paraId="11B08116" w14:textId="77777777" w:rsidR="00501A29" w:rsidRDefault="00501A29" w:rsidP="006677E6">
          <w:pPr>
            <w:pStyle w:val="TOCHeading"/>
            <w:jc w:val="both"/>
          </w:pPr>
          <w:r>
            <w:t>Sisukord</w:t>
          </w:r>
        </w:p>
        <w:p w14:paraId="4038723C" w14:textId="3DDA7D3C" w:rsidR="008945E0" w:rsidRDefault="00501A29">
          <w:pPr>
            <w:pStyle w:val="TOC1"/>
            <w:rPr>
              <w:rFonts w:eastAsiaTheme="minorEastAsia"/>
              <w:noProof/>
              <w:kern w:val="2"/>
              <w:sz w:val="24"/>
              <w:szCs w:val="24"/>
              <w:lang w:val="en-GB" w:eastAsia="en-GB"/>
              <w14:ligatures w14:val="standardContextual"/>
            </w:rPr>
          </w:pPr>
          <w:r>
            <w:fldChar w:fldCharType="begin"/>
          </w:r>
          <w:r>
            <w:instrText>TOC \o "1-3" \h \z \u</w:instrText>
          </w:r>
          <w:r>
            <w:fldChar w:fldCharType="separate"/>
          </w:r>
          <w:hyperlink w:anchor="_Toc168301397" w:history="1">
            <w:r w:rsidR="008945E0" w:rsidRPr="00455DE3">
              <w:rPr>
                <w:rStyle w:val="Hyperlink"/>
                <w:rFonts w:cstheme="minorHAnsi"/>
                <w:noProof/>
              </w:rPr>
              <w:t>1</w:t>
            </w:r>
            <w:r w:rsidR="008945E0">
              <w:rPr>
                <w:rFonts w:eastAsiaTheme="minorEastAsia"/>
                <w:noProof/>
                <w:kern w:val="2"/>
                <w:sz w:val="24"/>
                <w:szCs w:val="24"/>
                <w:lang w:val="en-GB" w:eastAsia="en-GB"/>
                <w14:ligatures w14:val="standardContextual"/>
              </w:rPr>
              <w:tab/>
            </w:r>
            <w:r w:rsidR="008945E0" w:rsidRPr="00455DE3">
              <w:rPr>
                <w:rStyle w:val="Hyperlink"/>
                <w:rFonts w:cstheme="minorHAnsi"/>
                <w:noProof/>
              </w:rPr>
              <w:t>Üldine</w:t>
            </w:r>
            <w:r w:rsidR="008945E0">
              <w:rPr>
                <w:noProof/>
                <w:webHidden/>
              </w:rPr>
              <w:tab/>
            </w:r>
            <w:r w:rsidR="008945E0">
              <w:rPr>
                <w:noProof/>
                <w:webHidden/>
              </w:rPr>
              <w:fldChar w:fldCharType="begin"/>
            </w:r>
            <w:r w:rsidR="008945E0">
              <w:rPr>
                <w:noProof/>
                <w:webHidden/>
              </w:rPr>
              <w:instrText xml:space="preserve"> PAGEREF _Toc168301397 \h </w:instrText>
            </w:r>
            <w:r w:rsidR="008945E0">
              <w:rPr>
                <w:noProof/>
                <w:webHidden/>
              </w:rPr>
            </w:r>
            <w:r w:rsidR="008945E0">
              <w:rPr>
                <w:noProof/>
                <w:webHidden/>
              </w:rPr>
              <w:fldChar w:fldCharType="separate"/>
            </w:r>
            <w:r w:rsidR="008945E0">
              <w:rPr>
                <w:noProof/>
                <w:webHidden/>
              </w:rPr>
              <w:t>1</w:t>
            </w:r>
            <w:r w:rsidR="008945E0">
              <w:rPr>
                <w:noProof/>
                <w:webHidden/>
              </w:rPr>
              <w:fldChar w:fldCharType="end"/>
            </w:r>
          </w:hyperlink>
        </w:p>
        <w:p w14:paraId="508345AE" w14:textId="5FAD45AC" w:rsidR="008945E0" w:rsidRDefault="003D7340">
          <w:pPr>
            <w:pStyle w:val="TOC1"/>
            <w:rPr>
              <w:rFonts w:eastAsiaTheme="minorEastAsia"/>
              <w:noProof/>
              <w:kern w:val="2"/>
              <w:sz w:val="24"/>
              <w:szCs w:val="24"/>
              <w:lang w:val="en-GB" w:eastAsia="en-GB"/>
              <w14:ligatures w14:val="standardContextual"/>
            </w:rPr>
          </w:pPr>
          <w:hyperlink w:anchor="_Toc168301398" w:history="1">
            <w:r w:rsidR="008945E0" w:rsidRPr="00455DE3">
              <w:rPr>
                <w:rStyle w:val="Hyperlink"/>
                <w:rFonts w:cstheme="minorHAnsi"/>
                <w:noProof/>
              </w:rPr>
              <w:t>2</w:t>
            </w:r>
            <w:r w:rsidR="008945E0">
              <w:rPr>
                <w:rFonts w:eastAsiaTheme="minorEastAsia"/>
                <w:noProof/>
                <w:kern w:val="2"/>
                <w:sz w:val="24"/>
                <w:szCs w:val="24"/>
                <w:lang w:val="en-GB" w:eastAsia="en-GB"/>
                <w14:ligatures w14:val="standardContextual"/>
              </w:rPr>
              <w:tab/>
            </w:r>
            <w:r w:rsidR="008945E0" w:rsidRPr="00455DE3">
              <w:rPr>
                <w:rStyle w:val="Hyperlink"/>
                <w:rFonts w:cstheme="minorHAnsi"/>
                <w:noProof/>
              </w:rPr>
              <w:t>Käsitlusala</w:t>
            </w:r>
            <w:r w:rsidR="008945E0">
              <w:rPr>
                <w:noProof/>
                <w:webHidden/>
              </w:rPr>
              <w:tab/>
            </w:r>
            <w:r w:rsidR="008945E0">
              <w:rPr>
                <w:noProof/>
                <w:webHidden/>
              </w:rPr>
              <w:fldChar w:fldCharType="begin"/>
            </w:r>
            <w:r w:rsidR="008945E0">
              <w:rPr>
                <w:noProof/>
                <w:webHidden/>
              </w:rPr>
              <w:instrText xml:space="preserve"> PAGEREF _Toc168301398 \h </w:instrText>
            </w:r>
            <w:r w:rsidR="008945E0">
              <w:rPr>
                <w:noProof/>
                <w:webHidden/>
              </w:rPr>
            </w:r>
            <w:r w:rsidR="008945E0">
              <w:rPr>
                <w:noProof/>
                <w:webHidden/>
              </w:rPr>
              <w:fldChar w:fldCharType="separate"/>
            </w:r>
            <w:r w:rsidR="008945E0">
              <w:rPr>
                <w:noProof/>
                <w:webHidden/>
              </w:rPr>
              <w:t>1</w:t>
            </w:r>
            <w:r w:rsidR="008945E0">
              <w:rPr>
                <w:noProof/>
                <w:webHidden/>
              </w:rPr>
              <w:fldChar w:fldCharType="end"/>
            </w:r>
          </w:hyperlink>
        </w:p>
        <w:p w14:paraId="571514E7" w14:textId="61D36E91" w:rsidR="008945E0" w:rsidRDefault="003D7340">
          <w:pPr>
            <w:pStyle w:val="TOC1"/>
            <w:rPr>
              <w:rFonts w:eastAsiaTheme="minorEastAsia"/>
              <w:noProof/>
              <w:kern w:val="2"/>
              <w:sz w:val="24"/>
              <w:szCs w:val="24"/>
              <w:lang w:val="en-GB" w:eastAsia="en-GB"/>
              <w14:ligatures w14:val="standardContextual"/>
            </w:rPr>
          </w:pPr>
          <w:hyperlink w:anchor="_Toc168301399" w:history="1">
            <w:r w:rsidR="008945E0" w:rsidRPr="00455DE3">
              <w:rPr>
                <w:rStyle w:val="Hyperlink"/>
                <w:rFonts w:cstheme="minorHAnsi"/>
                <w:noProof/>
              </w:rPr>
              <w:t>3</w:t>
            </w:r>
            <w:r w:rsidR="008945E0">
              <w:rPr>
                <w:rFonts w:eastAsiaTheme="minorEastAsia"/>
                <w:noProof/>
                <w:kern w:val="2"/>
                <w:sz w:val="24"/>
                <w:szCs w:val="24"/>
                <w:lang w:val="en-GB" w:eastAsia="en-GB"/>
                <w14:ligatures w14:val="standardContextual"/>
              </w:rPr>
              <w:tab/>
            </w:r>
            <w:r w:rsidR="008945E0" w:rsidRPr="00455DE3">
              <w:rPr>
                <w:rStyle w:val="Hyperlink"/>
                <w:rFonts w:cstheme="minorHAnsi"/>
                <w:noProof/>
              </w:rPr>
              <w:t>Turvanõrkuste haldamine</w:t>
            </w:r>
            <w:r w:rsidR="008945E0">
              <w:rPr>
                <w:noProof/>
                <w:webHidden/>
              </w:rPr>
              <w:tab/>
            </w:r>
            <w:r w:rsidR="008945E0">
              <w:rPr>
                <w:noProof/>
                <w:webHidden/>
              </w:rPr>
              <w:fldChar w:fldCharType="begin"/>
            </w:r>
            <w:r w:rsidR="008945E0">
              <w:rPr>
                <w:noProof/>
                <w:webHidden/>
              </w:rPr>
              <w:instrText xml:space="preserve"> PAGEREF _Toc168301399 \h </w:instrText>
            </w:r>
            <w:r w:rsidR="008945E0">
              <w:rPr>
                <w:noProof/>
                <w:webHidden/>
              </w:rPr>
            </w:r>
            <w:r w:rsidR="008945E0">
              <w:rPr>
                <w:noProof/>
                <w:webHidden/>
              </w:rPr>
              <w:fldChar w:fldCharType="separate"/>
            </w:r>
            <w:r w:rsidR="008945E0">
              <w:rPr>
                <w:noProof/>
                <w:webHidden/>
              </w:rPr>
              <w:t>1</w:t>
            </w:r>
            <w:r w:rsidR="008945E0">
              <w:rPr>
                <w:noProof/>
                <w:webHidden/>
              </w:rPr>
              <w:fldChar w:fldCharType="end"/>
            </w:r>
          </w:hyperlink>
        </w:p>
        <w:p w14:paraId="5ECFC2F3" w14:textId="4753F80C" w:rsidR="008945E0" w:rsidRDefault="003D7340">
          <w:pPr>
            <w:pStyle w:val="TOC1"/>
            <w:rPr>
              <w:rFonts w:eastAsiaTheme="minorEastAsia"/>
              <w:noProof/>
              <w:kern w:val="2"/>
              <w:sz w:val="24"/>
              <w:szCs w:val="24"/>
              <w:lang w:val="en-GB" w:eastAsia="en-GB"/>
              <w14:ligatures w14:val="standardContextual"/>
            </w:rPr>
          </w:pPr>
          <w:hyperlink w:anchor="_Toc168301400" w:history="1">
            <w:r w:rsidR="008945E0" w:rsidRPr="00455DE3">
              <w:rPr>
                <w:rStyle w:val="Hyperlink"/>
                <w:rFonts w:cstheme="minorHAnsi"/>
                <w:noProof/>
              </w:rPr>
              <w:t>4</w:t>
            </w:r>
            <w:r w:rsidR="008945E0">
              <w:rPr>
                <w:rFonts w:eastAsiaTheme="minorEastAsia"/>
                <w:noProof/>
                <w:kern w:val="2"/>
                <w:sz w:val="24"/>
                <w:szCs w:val="24"/>
                <w:lang w:val="en-GB" w:eastAsia="en-GB"/>
                <w14:ligatures w14:val="standardContextual"/>
              </w:rPr>
              <w:tab/>
            </w:r>
            <w:r w:rsidR="008945E0" w:rsidRPr="00455DE3">
              <w:rPr>
                <w:rStyle w:val="Hyperlink"/>
                <w:rFonts w:cstheme="minorHAnsi"/>
                <w:noProof/>
              </w:rPr>
              <w:t>Turvanõrkuste tuvastamine</w:t>
            </w:r>
            <w:r w:rsidR="008945E0">
              <w:rPr>
                <w:noProof/>
                <w:webHidden/>
              </w:rPr>
              <w:tab/>
            </w:r>
            <w:r w:rsidR="008945E0">
              <w:rPr>
                <w:noProof/>
                <w:webHidden/>
              </w:rPr>
              <w:fldChar w:fldCharType="begin"/>
            </w:r>
            <w:r w:rsidR="008945E0">
              <w:rPr>
                <w:noProof/>
                <w:webHidden/>
              </w:rPr>
              <w:instrText xml:space="preserve"> PAGEREF _Toc168301400 \h </w:instrText>
            </w:r>
            <w:r w:rsidR="008945E0">
              <w:rPr>
                <w:noProof/>
                <w:webHidden/>
              </w:rPr>
            </w:r>
            <w:r w:rsidR="008945E0">
              <w:rPr>
                <w:noProof/>
                <w:webHidden/>
              </w:rPr>
              <w:fldChar w:fldCharType="separate"/>
            </w:r>
            <w:r w:rsidR="008945E0">
              <w:rPr>
                <w:noProof/>
                <w:webHidden/>
              </w:rPr>
              <w:t>1</w:t>
            </w:r>
            <w:r w:rsidR="008945E0">
              <w:rPr>
                <w:noProof/>
                <w:webHidden/>
              </w:rPr>
              <w:fldChar w:fldCharType="end"/>
            </w:r>
          </w:hyperlink>
        </w:p>
        <w:p w14:paraId="6376C6BB" w14:textId="5E967897" w:rsidR="008945E0" w:rsidRDefault="003D7340">
          <w:pPr>
            <w:pStyle w:val="TOC1"/>
            <w:rPr>
              <w:rFonts w:eastAsiaTheme="minorEastAsia"/>
              <w:noProof/>
              <w:kern w:val="2"/>
              <w:sz w:val="24"/>
              <w:szCs w:val="24"/>
              <w:lang w:val="en-GB" w:eastAsia="en-GB"/>
              <w14:ligatures w14:val="standardContextual"/>
            </w:rPr>
          </w:pPr>
          <w:hyperlink w:anchor="_Toc168301401" w:history="1">
            <w:r w:rsidR="008945E0" w:rsidRPr="00455DE3">
              <w:rPr>
                <w:rStyle w:val="Hyperlink"/>
                <w:rFonts w:cstheme="minorHAnsi"/>
                <w:noProof/>
              </w:rPr>
              <w:t>5</w:t>
            </w:r>
            <w:r w:rsidR="008945E0">
              <w:rPr>
                <w:rFonts w:eastAsiaTheme="minorEastAsia"/>
                <w:noProof/>
                <w:kern w:val="2"/>
                <w:sz w:val="24"/>
                <w:szCs w:val="24"/>
                <w:lang w:val="en-GB" w:eastAsia="en-GB"/>
                <w14:ligatures w14:val="standardContextual"/>
              </w:rPr>
              <w:tab/>
            </w:r>
            <w:r w:rsidR="008945E0" w:rsidRPr="00455DE3">
              <w:rPr>
                <w:rStyle w:val="Hyperlink"/>
                <w:rFonts w:cstheme="minorHAnsi"/>
                <w:noProof/>
              </w:rPr>
              <w:t>Turvanõrkuste hindamine ja prioriteetide määramine</w:t>
            </w:r>
            <w:r w:rsidR="008945E0">
              <w:rPr>
                <w:noProof/>
                <w:webHidden/>
              </w:rPr>
              <w:tab/>
            </w:r>
            <w:r w:rsidR="008945E0">
              <w:rPr>
                <w:noProof/>
                <w:webHidden/>
              </w:rPr>
              <w:fldChar w:fldCharType="begin"/>
            </w:r>
            <w:r w:rsidR="008945E0">
              <w:rPr>
                <w:noProof/>
                <w:webHidden/>
              </w:rPr>
              <w:instrText xml:space="preserve"> PAGEREF _Toc168301401 \h </w:instrText>
            </w:r>
            <w:r w:rsidR="008945E0">
              <w:rPr>
                <w:noProof/>
                <w:webHidden/>
              </w:rPr>
            </w:r>
            <w:r w:rsidR="008945E0">
              <w:rPr>
                <w:noProof/>
                <w:webHidden/>
              </w:rPr>
              <w:fldChar w:fldCharType="separate"/>
            </w:r>
            <w:r w:rsidR="008945E0">
              <w:rPr>
                <w:noProof/>
                <w:webHidden/>
              </w:rPr>
              <w:t>1</w:t>
            </w:r>
            <w:r w:rsidR="008945E0">
              <w:rPr>
                <w:noProof/>
                <w:webHidden/>
              </w:rPr>
              <w:fldChar w:fldCharType="end"/>
            </w:r>
          </w:hyperlink>
        </w:p>
        <w:p w14:paraId="5EB2E7B2" w14:textId="7FC20078" w:rsidR="008945E0" w:rsidRDefault="003D7340">
          <w:pPr>
            <w:pStyle w:val="TOC1"/>
            <w:rPr>
              <w:rFonts w:eastAsiaTheme="minorEastAsia"/>
              <w:noProof/>
              <w:kern w:val="2"/>
              <w:sz w:val="24"/>
              <w:szCs w:val="24"/>
              <w:lang w:val="en-GB" w:eastAsia="en-GB"/>
              <w14:ligatures w14:val="standardContextual"/>
            </w:rPr>
          </w:pPr>
          <w:hyperlink w:anchor="_Toc168301402" w:history="1">
            <w:r w:rsidR="008945E0" w:rsidRPr="00455DE3">
              <w:rPr>
                <w:rStyle w:val="Hyperlink"/>
                <w:rFonts w:cstheme="minorHAnsi"/>
                <w:noProof/>
              </w:rPr>
              <w:t>6</w:t>
            </w:r>
            <w:r w:rsidR="008945E0">
              <w:rPr>
                <w:rFonts w:eastAsiaTheme="minorEastAsia"/>
                <w:noProof/>
                <w:kern w:val="2"/>
                <w:sz w:val="24"/>
                <w:szCs w:val="24"/>
                <w:lang w:val="en-GB" w:eastAsia="en-GB"/>
                <w14:ligatures w14:val="standardContextual"/>
              </w:rPr>
              <w:tab/>
            </w:r>
            <w:r w:rsidR="008945E0" w:rsidRPr="00455DE3">
              <w:rPr>
                <w:rStyle w:val="Hyperlink"/>
                <w:rFonts w:cstheme="minorHAnsi"/>
                <w:noProof/>
              </w:rPr>
              <w:t>Turvanõrkuste leevendamine ja kõrvaldamine</w:t>
            </w:r>
            <w:r w:rsidR="008945E0">
              <w:rPr>
                <w:noProof/>
                <w:webHidden/>
              </w:rPr>
              <w:tab/>
            </w:r>
            <w:r w:rsidR="008945E0">
              <w:rPr>
                <w:noProof/>
                <w:webHidden/>
              </w:rPr>
              <w:fldChar w:fldCharType="begin"/>
            </w:r>
            <w:r w:rsidR="008945E0">
              <w:rPr>
                <w:noProof/>
                <w:webHidden/>
              </w:rPr>
              <w:instrText xml:space="preserve"> PAGEREF _Toc168301402 \h </w:instrText>
            </w:r>
            <w:r w:rsidR="008945E0">
              <w:rPr>
                <w:noProof/>
                <w:webHidden/>
              </w:rPr>
            </w:r>
            <w:r w:rsidR="008945E0">
              <w:rPr>
                <w:noProof/>
                <w:webHidden/>
              </w:rPr>
              <w:fldChar w:fldCharType="separate"/>
            </w:r>
            <w:r w:rsidR="008945E0">
              <w:rPr>
                <w:noProof/>
                <w:webHidden/>
              </w:rPr>
              <w:t>1</w:t>
            </w:r>
            <w:r w:rsidR="008945E0">
              <w:rPr>
                <w:noProof/>
                <w:webHidden/>
              </w:rPr>
              <w:fldChar w:fldCharType="end"/>
            </w:r>
          </w:hyperlink>
        </w:p>
        <w:p w14:paraId="106F89DC" w14:textId="2BE91204" w:rsidR="008945E0" w:rsidRDefault="003D7340">
          <w:pPr>
            <w:pStyle w:val="TOC1"/>
            <w:rPr>
              <w:rFonts w:eastAsiaTheme="minorEastAsia"/>
              <w:noProof/>
              <w:kern w:val="2"/>
              <w:sz w:val="24"/>
              <w:szCs w:val="24"/>
              <w:lang w:val="en-GB" w:eastAsia="en-GB"/>
              <w14:ligatures w14:val="standardContextual"/>
            </w:rPr>
          </w:pPr>
          <w:hyperlink w:anchor="_Toc168301403" w:history="1">
            <w:r w:rsidR="008945E0" w:rsidRPr="00455DE3">
              <w:rPr>
                <w:rStyle w:val="Hyperlink"/>
                <w:rFonts w:cstheme="minorHAnsi"/>
                <w:noProof/>
              </w:rPr>
              <w:t>7</w:t>
            </w:r>
            <w:r w:rsidR="008945E0">
              <w:rPr>
                <w:rFonts w:eastAsiaTheme="minorEastAsia"/>
                <w:noProof/>
                <w:kern w:val="2"/>
                <w:sz w:val="24"/>
                <w:szCs w:val="24"/>
                <w:lang w:val="en-GB" w:eastAsia="en-GB"/>
                <w14:ligatures w14:val="standardContextual"/>
              </w:rPr>
              <w:tab/>
            </w:r>
            <w:r w:rsidR="008945E0" w:rsidRPr="00455DE3">
              <w:rPr>
                <w:rStyle w:val="Hyperlink"/>
                <w:rFonts w:cstheme="minorHAnsi"/>
                <w:noProof/>
              </w:rPr>
              <w:t>Testimine</w:t>
            </w:r>
            <w:r w:rsidR="008945E0">
              <w:rPr>
                <w:noProof/>
                <w:webHidden/>
              </w:rPr>
              <w:tab/>
            </w:r>
            <w:r w:rsidR="008945E0">
              <w:rPr>
                <w:noProof/>
                <w:webHidden/>
              </w:rPr>
              <w:fldChar w:fldCharType="begin"/>
            </w:r>
            <w:r w:rsidR="008945E0">
              <w:rPr>
                <w:noProof/>
                <w:webHidden/>
              </w:rPr>
              <w:instrText xml:space="preserve"> PAGEREF _Toc168301403 \h </w:instrText>
            </w:r>
            <w:r w:rsidR="008945E0">
              <w:rPr>
                <w:noProof/>
                <w:webHidden/>
              </w:rPr>
            </w:r>
            <w:r w:rsidR="008945E0">
              <w:rPr>
                <w:noProof/>
                <w:webHidden/>
              </w:rPr>
              <w:fldChar w:fldCharType="separate"/>
            </w:r>
            <w:r w:rsidR="008945E0">
              <w:rPr>
                <w:noProof/>
                <w:webHidden/>
              </w:rPr>
              <w:t>2</w:t>
            </w:r>
            <w:r w:rsidR="008945E0">
              <w:rPr>
                <w:noProof/>
                <w:webHidden/>
              </w:rPr>
              <w:fldChar w:fldCharType="end"/>
            </w:r>
          </w:hyperlink>
        </w:p>
        <w:p w14:paraId="22086982" w14:textId="10C1D52F" w:rsidR="008945E0" w:rsidRDefault="003D7340">
          <w:pPr>
            <w:pStyle w:val="TOC1"/>
            <w:rPr>
              <w:rFonts w:eastAsiaTheme="minorEastAsia"/>
              <w:noProof/>
              <w:kern w:val="2"/>
              <w:sz w:val="24"/>
              <w:szCs w:val="24"/>
              <w:lang w:val="en-GB" w:eastAsia="en-GB"/>
              <w14:ligatures w14:val="standardContextual"/>
            </w:rPr>
          </w:pPr>
          <w:hyperlink w:anchor="_Toc168301404" w:history="1">
            <w:r w:rsidR="008945E0" w:rsidRPr="00455DE3">
              <w:rPr>
                <w:rStyle w:val="Hyperlink"/>
                <w:rFonts w:cstheme="minorHAnsi"/>
                <w:noProof/>
              </w:rPr>
              <w:t>8</w:t>
            </w:r>
            <w:r w:rsidR="008945E0">
              <w:rPr>
                <w:rFonts w:eastAsiaTheme="minorEastAsia"/>
                <w:noProof/>
                <w:kern w:val="2"/>
                <w:sz w:val="24"/>
                <w:szCs w:val="24"/>
                <w:lang w:val="en-GB" w:eastAsia="en-GB"/>
                <w14:ligatures w14:val="standardContextual"/>
              </w:rPr>
              <w:tab/>
            </w:r>
            <w:r w:rsidR="008945E0" w:rsidRPr="00455DE3">
              <w:rPr>
                <w:rStyle w:val="Hyperlink"/>
                <w:rFonts w:cstheme="minorHAnsi"/>
                <w:noProof/>
              </w:rPr>
              <w:t>Erisused</w:t>
            </w:r>
            <w:r w:rsidR="008945E0">
              <w:rPr>
                <w:noProof/>
                <w:webHidden/>
              </w:rPr>
              <w:tab/>
            </w:r>
            <w:r w:rsidR="008945E0">
              <w:rPr>
                <w:noProof/>
                <w:webHidden/>
              </w:rPr>
              <w:fldChar w:fldCharType="begin"/>
            </w:r>
            <w:r w:rsidR="008945E0">
              <w:rPr>
                <w:noProof/>
                <w:webHidden/>
              </w:rPr>
              <w:instrText xml:space="preserve"> PAGEREF _Toc168301404 \h </w:instrText>
            </w:r>
            <w:r w:rsidR="008945E0">
              <w:rPr>
                <w:noProof/>
                <w:webHidden/>
              </w:rPr>
            </w:r>
            <w:r w:rsidR="008945E0">
              <w:rPr>
                <w:noProof/>
                <w:webHidden/>
              </w:rPr>
              <w:fldChar w:fldCharType="separate"/>
            </w:r>
            <w:r w:rsidR="008945E0">
              <w:rPr>
                <w:noProof/>
                <w:webHidden/>
              </w:rPr>
              <w:t>2</w:t>
            </w:r>
            <w:r w:rsidR="008945E0">
              <w:rPr>
                <w:noProof/>
                <w:webHidden/>
              </w:rPr>
              <w:fldChar w:fldCharType="end"/>
            </w:r>
          </w:hyperlink>
        </w:p>
        <w:p w14:paraId="37C456A0" w14:textId="5F4965CD" w:rsidR="008945E0" w:rsidRDefault="003D7340">
          <w:pPr>
            <w:pStyle w:val="TOC1"/>
            <w:rPr>
              <w:rFonts w:eastAsiaTheme="minorEastAsia"/>
              <w:noProof/>
              <w:kern w:val="2"/>
              <w:sz w:val="24"/>
              <w:szCs w:val="24"/>
              <w:lang w:val="en-GB" w:eastAsia="en-GB"/>
              <w14:ligatures w14:val="standardContextual"/>
            </w:rPr>
          </w:pPr>
          <w:hyperlink w:anchor="_Toc168301405" w:history="1">
            <w:r w:rsidR="008945E0" w:rsidRPr="00455DE3">
              <w:rPr>
                <w:rStyle w:val="Hyperlink"/>
                <w:rFonts w:cstheme="minorHAnsi"/>
                <w:noProof/>
              </w:rPr>
              <w:t>9</w:t>
            </w:r>
            <w:r w:rsidR="008945E0">
              <w:rPr>
                <w:rFonts w:eastAsiaTheme="minorEastAsia"/>
                <w:noProof/>
                <w:kern w:val="2"/>
                <w:sz w:val="24"/>
                <w:szCs w:val="24"/>
                <w:lang w:val="en-GB" w:eastAsia="en-GB"/>
                <w14:ligatures w14:val="standardContextual"/>
              </w:rPr>
              <w:tab/>
            </w:r>
            <w:r w:rsidR="008945E0" w:rsidRPr="00455DE3">
              <w:rPr>
                <w:rStyle w:val="Hyperlink"/>
                <w:rFonts w:cstheme="minorHAnsi"/>
                <w:noProof/>
              </w:rPr>
              <w:t>Järelevalve</w:t>
            </w:r>
            <w:r w:rsidR="008945E0">
              <w:rPr>
                <w:noProof/>
                <w:webHidden/>
              </w:rPr>
              <w:tab/>
            </w:r>
            <w:r w:rsidR="008945E0">
              <w:rPr>
                <w:noProof/>
                <w:webHidden/>
              </w:rPr>
              <w:fldChar w:fldCharType="begin"/>
            </w:r>
            <w:r w:rsidR="008945E0">
              <w:rPr>
                <w:noProof/>
                <w:webHidden/>
              </w:rPr>
              <w:instrText xml:space="preserve"> PAGEREF _Toc168301405 \h </w:instrText>
            </w:r>
            <w:r w:rsidR="008945E0">
              <w:rPr>
                <w:noProof/>
                <w:webHidden/>
              </w:rPr>
            </w:r>
            <w:r w:rsidR="008945E0">
              <w:rPr>
                <w:noProof/>
                <w:webHidden/>
              </w:rPr>
              <w:fldChar w:fldCharType="separate"/>
            </w:r>
            <w:r w:rsidR="008945E0">
              <w:rPr>
                <w:noProof/>
                <w:webHidden/>
              </w:rPr>
              <w:t>2</w:t>
            </w:r>
            <w:r w:rsidR="008945E0">
              <w:rPr>
                <w:noProof/>
                <w:webHidden/>
              </w:rPr>
              <w:fldChar w:fldCharType="end"/>
            </w:r>
          </w:hyperlink>
        </w:p>
        <w:p w14:paraId="0BF7E888" w14:textId="023C0D06" w:rsidR="00501A29" w:rsidRDefault="00501A29" w:rsidP="006677E6">
          <w:pPr>
            <w:pStyle w:val="TOC1"/>
            <w:tabs>
              <w:tab w:val="clear" w:pos="440"/>
              <w:tab w:val="clear" w:pos="9062"/>
              <w:tab w:val="left" w:pos="435"/>
              <w:tab w:val="right" w:leader="dot" w:pos="9060"/>
            </w:tabs>
            <w:rPr>
              <w:rStyle w:val="Hyperlink"/>
              <w:noProof/>
              <w:kern w:val="2"/>
              <w:lang w:val="en-GB" w:eastAsia="en-GB"/>
              <w14:ligatures w14:val="standardContextual"/>
            </w:rPr>
          </w:pPr>
          <w:r>
            <w:fldChar w:fldCharType="end"/>
          </w:r>
        </w:p>
      </w:sdtContent>
    </w:sdt>
    <w:p w14:paraId="40A06CC4" w14:textId="77777777" w:rsidR="00501A29" w:rsidRDefault="00501A29" w:rsidP="006677E6">
      <w:pPr>
        <w:pStyle w:val="TOC1"/>
        <w:tabs>
          <w:tab w:val="clear" w:pos="440"/>
          <w:tab w:val="clear" w:pos="9062"/>
          <w:tab w:val="left" w:pos="435"/>
          <w:tab w:val="right" w:leader="dot" w:pos="9060"/>
        </w:tabs>
        <w:rPr>
          <w:rStyle w:val="Hyperlink"/>
          <w:noProof/>
          <w:kern w:val="2"/>
          <w:lang w:val="en-GB" w:eastAsia="en-GB"/>
          <w14:ligatures w14:val="standardContextual"/>
        </w:rPr>
      </w:pPr>
    </w:p>
    <w:p w14:paraId="6579805B" w14:textId="77777777" w:rsidR="00501A29" w:rsidRDefault="00501A29" w:rsidP="006677E6">
      <w:pPr>
        <w:pStyle w:val="TOC1"/>
        <w:tabs>
          <w:tab w:val="clear" w:pos="440"/>
          <w:tab w:val="clear" w:pos="9062"/>
          <w:tab w:val="left" w:pos="435"/>
          <w:tab w:val="right" w:leader="dot" w:pos="9060"/>
        </w:tabs>
        <w:rPr>
          <w:rStyle w:val="Hyperlink"/>
        </w:rPr>
      </w:pPr>
    </w:p>
    <w:p w14:paraId="013E0525" w14:textId="77777777" w:rsidR="00501A29" w:rsidRDefault="00501A29" w:rsidP="006677E6">
      <w:pPr>
        <w:pStyle w:val="TOC1"/>
        <w:tabs>
          <w:tab w:val="clear" w:pos="9062"/>
          <w:tab w:val="right" w:leader="dot" w:pos="9060"/>
        </w:tabs>
        <w:rPr>
          <w:rStyle w:val="Hyperlink"/>
          <w:noProof/>
          <w:kern w:val="2"/>
          <w:lang w:val="en-GB" w:eastAsia="en-GB"/>
          <w14:ligatures w14:val="standardContextual"/>
        </w:rPr>
      </w:pPr>
    </w:p>
    <w:p w14:paraId="43580700" w14:textId="77777777" w:rsidR="00501A29" w:rsidRDefault="00501A29" w:rsidP="006677E6">
      <w:pPr>
        <w:spacing w:after="160"/>
        <w:jc w:val="both"/>
      </w:pPr>
      <w:r>
        <w:br w:type="page"/>
      </w:r>
    </w:p>
    <w:p w14:paraId="23116B70" w14:textId="77777777" w:rsidR="00501A29" w:rsidRDefault="00501A29" w:rsidP="006677E6">
      <w:pPr>
        <w:jc w:val="both"/>
        <w:sectPr w:rsidR="00501A29" w:rsidSect="003D7340">
          <w:headerReference w:type="even" r:id="rId8"/>
          <w:footerReference w:type="even" r:id="rId9"/>
          <w:pgSz w:w="11906" w:h="16838"/>
          <w:pgMar w:top="567" w:right="1417" w:bottom="1417" w:left="1417" w:header="708" w:footer="708" w:gutter="0"/>
          <w:cols w:space="708"/>
          <w:docGrid w:linePitch="360"/>
        </w:sectPr>
      </w:pPr>
    </w:p>
    <w:p w14:paraId="6E535DDC" w14:textId="77777777" w:rsidR="00501A29" w:rsidRPr="00DF0A76" w:rsidRDefault="00501A29" w:rsidP="006677E6">
      <w:pPr>
        <w:pStyle w:val="Heading1"/>
        <w:keepLines/>
        <w:tabs>
          <w:tab w:val="clear" w:pos="432"/>
        </w:tabs>
        <w:spacing w:before="60" w:after="120"/>
        <w:jc w:val="both"/>
        <w:rPr>
          <w:rFonts w:asciiTheme="minorHAnsi" w:hAnsiTheme="minorHAnsi" w:cstheme="minorHAnsi"/>
          <w:sz w:val="22"/>
          <w:szCs w:val="22"/>
        </w:rPr>
      </w:pPr>
      <w:bookmarkStart w:id="1" w:name="_Toc166501442"/>
      <w:bookmarkStart w:id="2" w:name="_Toc168301397"/>
      <w:r w:rsidRPr="00DF0A76">
        <w:rPr>
          <w:rFonts w:asciiTheme="minorHAnsi" w:hAnsiTheme="minorHAnsi" w:cstheme="minorHAnsi"/>
          <w:sz w:val="22"/>
          <w:szCs w:val="22"/>
        </w:rPr>
        <w:lastRenderedPageBreak/>
        <w:t>Üldine</w:t>
      </w:r>
      <w:bookmarkEnd w:id="1"/>
      <w:bookmarkEnd w:id="2"/>
    </w:p>
    <w:p w14:paraId="0F44A747" w14:textId="77777777" w:rsidR="00501A29" w:rsidRPr="00DF0A76" w:rsidRDefault="00501A29" w:rsidP="006677E6">
      <w:pPr>
        <w:jc w:val="both"/>
        <w:rPr>
          <w:rStyle w:val="eop"/>
          <w:rFonts w:asciiTheme="minorHAnsi" w:hAnsiTheme="minorHAnsi" w:cstheme="minorHAnsi"/>
          <w:color w:val="000000" w:themeColor="text1"/>
          <w:szCs w:val="22"/>
        </w:rPr>
      </w:pPr>
      <w:r w:rsidRPr="00DF0A76">
        <w:rPr>
          <w:rStyle w:val="normaltextrun"/>
          <w:rFonts w:asciiTheme="minorHAnsi" w:eastAsiaTheme="majorEastAsia" w:hAnsiTheme="minorHAnsi" w:cstheme="minorHAnsi"/>
          <w:color w:val="000000"/>
          <w:szCs w:val="22"/>
          <w:shd w:val="clear" w:color="auto" w:fill="FFFFFF"/>
        </w:rPr>
        <w:t>Turvanõrkuste haldamise poliitika eesmärk on määratleda poliitika ja kontrollmeetmed, mis on vajalikud tehniliste haavatavuste (</w:t>
      </w:r>
      <w:proofErr w:type="spellStart"/>
      <w:r w:rsidRPr="00DF0A76">
        <w:rPr>
          <w:rStyle w:val="normaltextrun"/>
          <w:rFonts w:asciiTheme="minorHAnsi" w:eastAsiaTheme="majorEastAsia" w:hAnsiTheme="minorHAnsi" w:cstheme="minorHAnsi"/>
          <w:color w:val="000000"/>
          <w:szCs w:val="22"/>
          <w:shd w:val="clear" w:color="auto" w:fill="FFFFFF"/>
        </w:rPr>
        <w:t>v</w:t>
      </w:r>
      <w:r w:rsidRPr="00DF0A76">
        <w:rPr>
          <w:rStyle w:val="normaltextrun"/>
          <w:rFonts w:asciiTheme="minorHAnsi" w:eastAsiaTheme="majorEastAsia" w:hAnsiTheme="minorHAnsi" w:cstheme="minorHAnsi"/>
          <w:color w:val="000000" w:themeColor="text1"/>
          <w:szCs w:val="22"/>
        </w:rPr>
        <w:t>ulnerabilities</w:t>
      </w:r>
      <w:proofErr w:type="spellEnd"/>
      <w:r w:rsidRPr="00DF0A76">
        <w:rPr>
          <w:rStyle w:val="normaltextrun"/>
          <w:rFonts w:asciiTheme="minorHAnsi" w:eastAsiaTheme="majorEastAsia" w:hAnsiTheme="minorHAnsi" w:cstheme="minorHAnsi"/>
          <w:color w:val="000000" w:themeColor="text1"/>
          <w:szCs w:val="22"/>
        </w:rPr>
        <w:t>)</w:t>
      </w:r>
      <w:r w:rsidRPr="00DF0A76">
        <w:rPr>
          <w:rStyle w:val="normaltextrun"/>
          <w:rFonts w:asciiTheme="minorHAnsi" w:eastAsiaTheme="majorEastAsia" w:hAnsiTheme="minorHAnsi" w:cstheme="minorHAnsi"/>
          <w:color w:val="000000"/>
          <w:szCs w:val="22"/>
          <w:shd w:val="clear" w:color="auto" w:fill="FFFFFF"/>
        </w:rPr>
        <w:t xml:space="preserve"> hindamiseks ja haldamiseks Tallinna Tehnikaülikooli (edaspidi: ülikool) infosüsteemides ja infotehnoloogilistes varades, eesmärgiga saavutada ülikooli poolt aktsepteeritud riskitase. </w:t>
      </w:r>
    </w:p>
    <w:p w14:paraId="57D20710" w14:textId="77777777" w:rsidR="00501A29" w:rsidRPr="00DF0A76" w:rsidRDefault="00501A29" w:rsidP="006677E6">
      <w:pPr>
        <w:pStyle w:val="Heading1"/>
        <w:keepLines/>
        <w:tabs>
          <w:tab w:val="clear" w:pos="432"/>
        </w:tabs>
        <w:spacing w:before="60" w:after="120"/>
        <w:jc w:val="both"/>
        <w:rPr>
          <w:rFonts w:asciiTheme="minorHAnsi" w:hAnsiTheme="minorHAnsi" w:cstheme="minorHAnsi"/>
          <w:sz w:val="22"/>
          <w:szCs w:val="22"/>
        </w:rPr>
      </w:pPr>
      <w:bookmarkStart w:id="3" w:name="_Toc166501443"/>
      <w:bookmarkStart w:id="4" w:name="_Toc168301398"/>
      <w:r w:rsidRPr="00DF0A76">
        <w:rPr>
          <w:rFonts w:asciiTheme="minorHAnsi" w:hAnsiTheme="minorHAnsi" w:cstheme="minorHAnsi"/>
          <w:sz w:val="22"/>
          <w:szCs w:val="22"/>
        </w:rPr>
        <w:t>Käsitlusala</w:t>
      </w:r>
      <w:bookmarkEnd w:id="3"/>
      <w:bookmarkEnd w:id="4"/>
    </w:p>
    <w:p w14:paraId="2F65DA76" w14:textId="77777777" w:rsidR="00501A29" w:rsidRPr="00DF0A76" w:rsidRDefault="00501A29" w:rsidP="006677E6">
      <w:pPr>
        <w:spacing w:line="257" w:lineRule="auto"/>
        <w:jc w:val="both"/>
        <w:rPr>
          <w:rFonts w:asciiTheme="minorHAnsi" w:eastAsia="Calibri" w:hAnsiTheme="minorHAnsi" w:cstheme="minorHAnsi"/>
          <w:szCs w:val="22"/>
        </w:rPr>
      </w:pPr>
      <w:r w:rsidRPr="00DF0A76">
        <w:rPr>
          <w:rFonts w:asciiTheme="minorHAnsi" w:eastAsia="Calibri" w:hAnsiTheme="minorHAnsi" w:cstheme="minorHAnsi"/>
          <w:szCs w:val="22"/>
        </w:rPr>
        <w:t xml:space="preserve">Käesolev poliitika kehtib kõikidele ülikooli infosüsteemidele ja infotehnoloogilistele varadele, protsessidele ja osalistele, kes kuuluvad ülikooli infoturbe halduse süsteemi käsitlusalasse. </w:t>
      </w:r>
    </w:p>
    <w:p w14:paraId="717ABF0D" w14:textId="77777777" w:rsidR="00501A29" w:rsidRPr="00DF0A76" w:rsidRDefault="00501A29" w:rsidP="006677E6">
      <w:pPr>
        <w:pStyle w:val="Heading1"/>
        <w:keepLines/>
        <w:tabs>
          <w:tab w:val="clear" w:pos="432"/>
        </w:tabs>
        <w:spacing w:before="60" w:after="120"/>
        <w:jc w:val="both"/>
        <w:rPr>
          <w:rFonts w:asciiTheme="minorHAnsi" w:hAnsiTheme="minorHAnsi" w:cstheme="minorHAnsi"/>
          <w:sz w:val="22"/>
          <w:szCs w:val="22"/>
        </w:rPr>
      </w:pPr>
      <w:bookmarkStart w:id="5" w:name="_Toc166501444"/>
      <w:bookmarkStart w:id="6" w:name="_Toc168301399"/>
      <w:r w:rsidRPr="00DF0A76">
        <w:rPr>
          <w:rFonts w:asciiTheme="minorHAnsi" w:hAnsiTheme="minorHAnsi" w:cstheme="minorHAnsi"/>
          <w:sz w:val="22"/>
          <w:szCs w:val="22"/>
        </w:rPr>
        <w:t>Turvanõrkuste haldamine</w:t>
      </w:r>
      <w:bookmarkEnd w:id="5"/>
      <w:bookmarkEnd w:id="6"/>
    </w:p>
    <w:p w14:paraId="0D003BEE" w14:textId="77777777" w:rsidR="00501A29" w:rsidRPr="00DF0A76" w:rsidRDefault="00501A29" w:rsidP="006677E6">
      <w:pPr>
        <w:jc w:val="both"/>
        <w:rPr>
          <w:rFonts w:asciiTheme="minorHAnsi" w:hAnsiTheme="minorHAnsi" w:cstheme="minorHAnsi"/>
          <w:szCs w:val="22"/>
        </w:rPr>
      </w:pPr>
      <w:r w:rsidRPr="00DF0A76">
        <w:rPr>
          <w:rFonts w:asciiTheme="minorHAnsi" w:hAnsiTheme="minorHAnsi" w:cstheme="minorHAnsi"/>
          <w:szCs w:val="22"/>
        </w:rPr>
        <w:t xml:space="preserve">Turvanõrkuste haldamise eelduseks on infosüsteemide ja infotehnoloogiliste varade register. Turvanõrkuste haldamise protsess sisaldab varade arvestust, turvanõrkuste tuvastamist, hindamist, prioriteetide määratlemist, leevendamist, kõrvaldamist ja testimist. </w:t>
      </w:r>
    </w:p>
    <w:p w14:paraId="5D07C3A5" w14:textId="77777777" w:rsidR="00501A29" w:rsidRPr="00DF0A76" w:rsidRDefault="00501A29" w:rsidP="00501A29">
      <w:pPr>
        <w:pStyle w:val="Heading1"/>
        <w:keepLines/>
        <w:tabs>
          <w:tab w:val="clear" w:pos="432"/>
        </w:tabs>
        <w:spacing w:before="60" w:after="120"/>
        <w:jc w:val="both"/>
        <w:rPr>
          <w:rFonts w:asciiTheme="minorHAnsi" w:hAnsiTheme="minorHAnsi" w:cstheme="minorHAnsi"/>
          <w:sz w:val="22"/>
          <w:szCs w:val="22"/>
        </w:rPr>
      </w:pPr>
      <w:bookmarkStart w:id="7" w:name="_Toc166501445"/>
      <w:bookmarkStart w:id="8" w:name="_Toc168301400"/>
      <w:r w:rsidRPr="00DF0A76">
        <w:rPr>
          <w:rFonts w:asciiTheme="minorHAnsi" w:hAnsiTheme="minorHAnsi" w:cstheme="minorHAnsi"/>
          <w:sz w:val="22"/>
          <w:szCs w:val="22"/>
        </w:rPr>
        <w:t>Turvanõrkuste tuvastamine</w:t>
      </w:r>
      <w:bookmarkEnd w:id="7"/>
      <w:bookmarkEnd w:id="8"/>
    </w:p>
    <w:p w14:paraId="0DE974E6" w14:textId="3DDD9D95" w:rsidR="00501A29" w:rsidRPr="00DF0A76" w:rsidRDefault="00501A29" w:rsidP="006677E6">
      <w:pPr>
        <w:jc w:val="both"/>
        <w:rPr>
          <w:rFonts w:asciiTheme="minorHAnsi" w:hAnsiTheme="minorHAnsi" w:cstheme="minorHAnsi"/>
          <w:szCs w:val="22"/>
        </w:rPr>
      </w:pPr>
      <w:r w:rsidRPr="00DF0A76">
        <w:rPr>
          <w:rFonts w:asciiTheme="minorHAnsi" w:hAnsiTheme="minorHAnsi" w:cstheme="minorHAnsi"/>
          <w:szCs w:val="22"/>
        </w:rPr>
        <w:t>Turvanõrkuste tuvastamiseks kasutatakse automaatseid nõrkuste tuvastamise vahendeid, mis skaneerivad infosüsteeme ja infotehnoloogilisi varasid avastamaks turvanõrkusi. Turvanõrkuste tuvastamist korraldab infoturbejuht koos infotehnoloogia osakonda kuuluva infoturbe</w:t>
      </w:r>
      <w:r w:rsidR="002E258E">
        <w:rPr>
          <w:rFonts w:asciiTheme="minorHAnsi" w:hAnsiTheme="minorHAnsi" w:cstheme="minorHAnsi"/>
          <w:szCs w:val="22"/>
        </w:rPr>
        <w:t xml:space="preserve"> </w:t>
      </w:r>
      <w:r w:rsidRPr="00DF0A76">
        <w:rPr>
          <w:rFonts w:asciiTheme="minorHAnsi" w:hAnsiTheme="minorHAnsi" w:cstheme="minorHAnsi"/>
          <w:szCs w:val="22"/>
        </w:rPr>
        <w:t xml:space="preserve">talitusega. </w:t>
      </w:r>
    </w:p>
    <w:p w14:paraId="50365ADE" w14:textId="79F33757" w:rsidR="00501A29" w:rsidRPr="00DF0A76" w:rsidRDefault="00501A29" w:rsidP="006677E6">
      <w:pPr>
        <w:jc w:val="both"/>
        <w:rPr>
          <w:rFonts w:asciiTheme="minorHAnsi" w:hAnsiTheme="minorHAnsi" w:cstheme="minorHAnsi"/>
          <w:szCs w:val="22"/>
        </w:rPr>
      </w:pPr>
      <w:r w:rsidRPr="00DF0A76">
        <w:rPr>
          <w:rFonts w:asciiTheme="minorHAnsi" w:hAnsiTheme="minorHAnsi" w:cstheme="minorHAnsi"/>
          <w:szCs w:val="22"/>
        </w:rPr>
        <w:t>Infoturbe</w:t>
      </w:r>
      <w:r w:rsidR="002E258E">
        <w:rPr>
          <w:rFonts w:asciiTheme="minorHAnsi" w:hAnsiTheme="minorHAnsi" w:cstheme="minorHAnsi"/>
          <w:szCs w:val="22"/>
        </w:rPr>
        <w:t xml:space="preserve"> </w:t>
      </w:r>
      <w:r w:rsidRPr="00DF0A76">
        <w:rPr>
          <w:rFonts w:asciiTheme="minorHAnsi" w:hAnsiTheme="minorHAnsi" w:cstheme="minorHAnsi"/>
          <w:szCs w:val="22"/>
        </w:rPr>
        <w:t>talituse poolt kasutatavad turvanõrkusi tuvastavad tehnoloogilised lahendused on võetud varana arvele ning on juurde märgitud turvanõrkuste teabeallikad.</w:t>
      </w:r>
    </w:p>
    <w:p w14:paraId="5048E325" w14:textId="029EF91F" w:rsidR="00501A29" w:rsidRPr="00DF0A76" w:rsidRDefault="00501A29" w:rsidP="006677E6">
      <w:pPr>
        <w:jc w:val="both"/>
        <w:rPr>
          <w:rFonts w:asciiTheme="minorHAnsi" w:hAnsiTheme="minorHAnsi" w:cstheme="minorHAnsi"/>
          <w:szCs w:val="22"/>
        </w:rPr>
      </w:pPr>
      <w:r w:rsidRPr="00DF0A76">
        <w:rPr>
          <w:rFonts w:asciiTheme="minorHAnsi" w:hAnsiTheme="minorHAnsi" w:cstheme="minorHAnsi"/>
          <w:szCs w:val="22"/>
        </w:rPr>
        <w:t>Täiendavalt skaneerib ülikooli infosüsteeme ja infotehnoloogilisi varasid Riigi Infosüsteemide Amet (CERT.EE), kes teavitab infoturbe</w:t>
      </w:r>
      <w:r w:rsidR="002E258E">
        <w:rPr>
          <w:rFonts w:asciiTheme="minorHAnsi" w:hAnsiTheme="minorHAnsi" w:cstheme="minorHAnsi"/>
          <w:szCs w:val="22"/>
        </w:rPr>
        <w:t xml:space="preserve"> </w:t>
      </w:r>
      <w:r w:rsidRPr="00DF0A76">
        <w:rPr>
          <w:rFonts w:asciiTheme="minorHAnsi" w:hAnsiTheme="minorHAnsi" w:cstheme="minorHAnsi"/>
          <w:szCs w:val="22"/>
        </w:rPr>
        <w:t>talitust võimalikkest haavatavustest.</w:t>
      </w:r>
    </w:p>
    <w:p w14:paraId="173EDCE2" w14:textId="77777777" w:rsidR="00501A29" w:rsidRPr="00DF0A76" w:rsidRDefault="00501A29" w:rsidP="00501A29">
      <w:pPr>
        <w:pStyle w:val="Heading1"/>
        <w:keepLines/>
        <w:tabs>
          <w:tab w:val="clear" w:pos="432"/>
        </w:tabs>
        <w:spacing w:before="60" w:after="120"/>
        <w:jc w:val="both"/>
        <w:rPr>
          <w:rFonts w:asciiTheme="minorHAnsi" w:hAnsiTheme="minorHAnsi" w:cstheme="minorHAnsi"/>
          <w:sz w:val="22"/>
          <w:szCs w:val="22"/>
        </w:rPr>
      </w:pPr>
      <w:bookmarkStart w:id="9" w:name="_Toc166501446"/>
      <w:bookmarkStart w:id="10" w:name="_Toc168301401"/>
      <w:r w:rsidRPr="00DF0A76">
        <w:rPr>
          <w:rFonts w:asciiTheme="minorHAnsi" w:hAnsiTheme="minorHAnsi" w:cstheme="minorHAnsi"/>
          <w:sz w:val="22"/>
          <w:szCs w:val="22"/>
        </w:rPr>
        <w:t>Turvanõrkuste hindamine ja prioriteetide määramine</w:t>
      </w:r>
      <w:bookmarkEnd w:id="9"/>
      <w:bookmarkEnd w:id="10"/>
    </w:p>
    <w:p w14:paraId="61AC86CB" w14:textId="27C7DF1F" w:rsidR="00501A29" w:rsidRPr="00DF0A76" w:rsidRDefault="00501A29" w:rsidP="006677E6">
      <w:pPr>
        <w:spacing w:line="257" w:lineRule="auto"/>
        <w:jc w:val="both"/>
        <w:rPr>
          <w:rFonts w:asciiTheme="minorHAnsi" w:eastAsia="Calibri" w:hAnsiTheme="minorHAnsi" w:cstheme="minorHAnsi"/>
          <w:szCs w:val="22"/>
        </w:rPr>
      </w:pPr>
      <w:r w:rsidRPr="00DF0A76">
        <w:rPr>
          <w:rFonts w:asciiTheme="minorHAnsi" w:eastAsia="Calibri" w:hAnsiTheme="minorHAnsi" w:cstheme="minorHAnsi"/>
          <w:szCs w:val="22"/>
        </w:rPr>
        <w:t>Avastatud turvanõrkused hinnatakse lähtuvalt standardsetest haavatavuste hindamise metoodikatest (CVE, CVSS, OVAL, SCAP, VMF, PVG, jt). Antud hinnangud on osaliselt automatiseeritud lähtuvalt kasutatavatest infotehnoloogilistest vahenditest. Infoturbe</w:t>
      </w:r>
      <w:r w:rsidR="002E258E">
        <w:rPr>
          <w:rFonts w:asciiTheme="minorHAnsi" w:eastAsia="Calibri" w:hAnsiTheme="minorHAnsi" w:cstheme="minorHAnsi"/>
          <w:szCs w:val="22"/>
        </w:rPr>
        <w:t xml:space="preserve"> </w:t>
      </w:r>
      <w:r w:rsidRPr="00DF0A76">
        <w:rPr>
          <w:rFonts w:asciiTheme="minorHAnsi" w:eastAsia="Calibri" w:hAnsiTheme="minorHAnsi" w:cstheme="minorHAnsi"/>
          <w:szCs w:val="22"/>
        </w:rPr>
        <w:t>talitus lähtuvalt hinnangutest määratleb haavatavuste prioriteedi (riskitaseme), sh leevendusmeetmete rakendamise aja (</w:t>
      </w:r>
      <w:r w:rsidRPr="00DF0A76">
        <w:rPr>
          <w:rFonts w:asciiTheme="minorHAnsi" w:eastAsia="Calibri" w:hAnsiTheme="minorHAnsi" w:cstheme="minorHAnsi"/>
          <w:szCs w:val="22"/>
        </w:rPr>
        <w:fldChar w:fldCharType="begin"/>
      </w:r>
      <w:r w:rsidRPr="00DF0A76">
        <w:rPr>
          <w:rFonts w:asciiTheme="minorHAnsi" w:eastAsia="Calibri" w:hAnsiTheme="minorHAnsi" w:cstheme="minorHAnsi"/>
          <w:szCs w:val="22"/>
        </w:rPr>
        <w:instrText xml:space="preserve"> REF _Ref166230369 \h </w:instrText>
      </w:r>
      <w:r w:rsidR="00DF0A76" w:rsidRPr="00DF0A76">
        <w:rPr>
          <w:rFonts w:asciiTheme="minorHAnsi" w:eastAsia="Calibri" w:hAnsiTheme="minorHAnsi" w:cstheme="minorHAnsi"/>
          <w:szCs w:val="22"/>
        </w:rPr>
        <w:instrText xml:space="preserve"> \* MERGEFORMAT </w:instrText>
      </w:r>
      <w:r w:rsidRPr="00DF0A76">
        <w:rPr>
          <w:rFonts w:asciiTheme="minorHAnsi" w:eastAsia="Calibri" w:hAnsiTheme="minorHAnsi" w:cstheme="minorHAnsi"/>
          <w:szCs w:val="22"/>
        </w:rPr>
      </w:r>
      <w:r w:rsidRPr="00DF0A76">
        <w:rPr>
          <w:rFonts w:asciiTheme="minorHAnsi" w:eastAsia="Calibri" w:hAnsiTheme="minorHAnsi" w:cstheme="minorHAnsi"/>
          <w:szCs w:val="22"/>
        </w:rPr>
        <w:fldChar w:fldCharType="separate"/>
      </w:r>
      <w:r w:rsidRPr="00DF0A76">
        <w:rPr>
          <w:rFonts w:asciiTheme="minorHAnsi" w:hAnsiTheme="minorHAnsi" w:cstheme="minorHAnsi"/>
          <w:szCs w:val="22"/>
        </w:rPr>
        <w:t xml:space="preserve">Tabel </w:t>
      </w:r>
      <w:r w:rsidRPr="00DF0A76">
        <w:rPr>
          <w:rFonts w:asciiTheme="minorHAnsi" w:hAnsiTheme="minorHAnsi" w:cstheme="minorHAnsi"/>
          <w:noProof/>
          <w:szCs w:val="22"/>
        </w:rPr>
        <w:t>1</w:t>
      </w:r>
      <w:r w:rsidRPr="00DF0A76">
        <w:rPr>
          <w:rFonts w:asciiTheme="minorHAnsi" w:hAnsiTheme="minorHAnsi" w:cstheme="minorHAnsi"/>
          <w:szCs w:val="22"/>
        </w:rPr>
        <w:t xml:space="preserve"> Haavatavuste riskitasemed ja leevendusajad</w:t>
      </w:r>
      <w:r w:rsidRPr="00DF0A76">
        <w:rPr>
          <w:rFonts w:asciiTheme="minorHAnsi" w:eastAsia="Calibri" w:hAnsiTheme="minorHAnsi" w:cstheme="minorHAnsi"/>
          <w:szCs w:val="22"/>
        </w:rPr>
        <w:fldChar w:fldCharType="end"/>
      </w:r>
      <w:r w:rsidRPr="00DF0A76">
        <w:rPr>
          <w:rFonts w:asciiTheme="minorHAnsi" w:eastAsia="Calibri" w:hAnsiTheme="minorHAnsi" w:cstheme="minorHAnsi"/>
          <w:szCs w:val="22"/>
        </w:rPr>
        <w:t xml:space="preserve">). </w:t>
      </w:r>
    </w:p>
    <w:p w14:paraId="32BBF888" w14:textId="39C77F55" w:rsidR="00501A29" w:rsidRPr="00DF0A76" w:rsidRDefault="00501A29" w:rsidP="006677E6">
      <w:pPr>
        <w:jc w:val="both"/>
        <w:rPr>
          <w:rFonts w:asciiTheme="minorHAnsi" w:hAnsiTheme="minorHAnsi" w:cstheme="minorHAnsi"/>
          <w:szCs w:val="22"/>
        </w:rPr>
      </w:pPr>
      <w:r w:rsidRPr="00DF0A76">
        <w:rPr>
          <w:rFonts w:asciiTheme="minorHAnsi" w:hAnsiTheme="minorHAnsi" w:cstheme="minorHAnsi"/>
          <w:szCs w:val="22"/>
        </w:rPr>
        <w:t>Infoturbe</w:t>
      </w:r>
      <w:r w:rsidR="002E258E">
        <w:rPr>
          <w:rFonts w:asciiTheme="minorHAnsi" w:hAnsiTheme="minorHAnsi" w:cstheme="minorHAnsi"/>
          <w:szCs w:val="22"/>
        </w:rPr>
        <w:t xml:space="preserve"> </w:t>
      </w:r>
      <w:r w:rsidRPr="00DF0A76">
        <w:rPr>
          <w:rFonts w:asciiTheme="minorHAnsi" w:hAnsiTheme="minorHAnsi" w:cstheme="minorHAnsi"/>
          <w:szCs w:val="22"/>
        </w:rPr>
        <w:t xml:space="preserve">talitus informeerib avastatud turvanõrkustest ja selle riskitasemest infosüsteemi äriprojektijuhti ja süsteemiadministraatorit või infotehnoloogilise vara omaniku esimesel võimalusel alates selle avastamisest, kuid mitte hiljem kui kolme tööpäeva jooksul. </w:t>
      </w:r>
    </w:p>
    <w:p w14:paraId="703A4AA0" w14:textId="77777777" w:rsidR="00501A29" w:rsidRPr="00DF0A76" w:rsidRDefault="00501A29" w:rsidP="00501A29">
      <w:pPr>
        <w:pStyle w:val="Caption"/>
        <w:keepNext/>
        <w:rPr>
          <w:rFonts w:cstheme="minorHAnsi"/>
          <w:sz w:val="22"/>
          <w:szCs w:val="22"/>
        </w:rPr>
      </w:pPr>
      <w:bookmarkStart w:id="11" w:name="_Ref166230369"/>
      <w:r w:rsidRPr="00DF0A76">
        <w:rPr>
          <w:rFonts w:cstheme="minorHAnsi"/>
          <w:sz w:val="22"/>
          <w:szCs w:val="22"/>
        </w:rPr>
        <w:t xml:space="preserve">Tabel </w:t>
      </w:r>
      <w:r w:rsidRPr="00DF0A76">
        <w:rPr>
          <w:rFonts w:cstheme="minorHAnsi"/>
          <w:sz w:val="22"/>
          <w:szCs w:val="22"/>
        </w:rPr>
        <w:fldChar w:fldCharType="begin"/>
      </w:r>
      <w:r w:rsidRPr="00DF0A76">
        <w:rPr>
          <w:rFonts w:cstheme="minorHAnsi"/>
          <w:sz w:val="22"/>
          <w:szCs w:val="22"/>
        </w:rPr>
        <w:instrText xml:space="preserve"> SEQ Tabel \* ARABIC </w:instrText>
      </w:r>
      <w:r w:rsidRPr="00DF0A76">
        <w:rPr>
          <w:rFonts w:cstheme="minorHAnsi"/>
          <w:sz w:val="22"/>
          <w:szCs w:val="22"/>
        </w:rPr>
        <w:fldChar w:fldCharType="separate"/>
      </w:r>
      <w:r w:rsidRPr="00DF0A76">
        <w:rPr>
          <w:rFonts w:cstheme="minorHAnsi"/>
          <w:noProof/>
          <w:sz w:val="22"/>
          <w:szCs w:val="22"/>
        </w:rPr>
        <w:t>1</w:t>
      </w:r>
      <w:r w:rsidRPr="00DF0A76">
        <w:rPr>
          <w:rFonts w:cstheme="minorHAnsi"/>
          <w:sz w:val="22"/>
          <w:szCs w:val="22"/>
        </w:rPr>
        <w:fldChar w:fldCharType="end"/>
      </w:r>
      <w:r w:rsidRPr="00DF0A76">
        <w:rPr>
          <w:rFonts w:cstheme="minorHAnsi"/>
          <w:sz w:val="22"/>
          <w:szCs w:val="22"/>
        </w:rPr>
        <w:t xml:space="preserve"> Haavatavuste riskitasemed ja leevendusajad</w:t>
      </w:r>
      <w:bookmarkEnd w:id="11"/>
    </w:p>
    <w:tbl>
      <w:tblPr>
        <w:tblStyle w:val="TableGrid"/>
        <w:tblW w:w="9060" w:type="dxa"/>
        <w:tblLayout w:type="fixed"/>
        <w:tblLook w:val="04A0" w:firstRow="1" w:lastRow="0" w:firstColumn="1" w:lastColumn="0" w:noHBand="0" w:noVBand="1"/>
      </w:tblPr>
      <w:tblGrid>
        <w:gridCol w:w="4530"/>
        <w:gridCol w:w="4530"/>
      </w:tblGrid>
      <w:tr w:rsidR="00501A29" w:rsidRPr="00DF0A76" w14:paraId="2E01EC62" w14:textId="77777777" w:rsidTr="0095138F">
        <w:trPr>
          <w:trHeight w:val="300"/>
        </w:trPr>
        <w:tc>
          <w:tcPr>
            <w:tcW w:w="4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74DD86F" w14:textId="77777777" w:rsidR="00501A29" w:rsidRPr="00DF0A76" w:rsidRDefault="00501A29" w:rsidP="0095138F">
            <w:pPr>
              <w:rPr>
                <w:rFonts w:eastAsia="Calibri" w:cstheme="minorHAnsi"/>
                <w:color w:val="000000" w:themeColor="text1"/>
              </w:rPr>
            </w:pPr>
            <w:r w:rsidRPr="00DF0A76">
              <w:rPr>
                <w:rFonts w:eastAsia="Calibri" w:cstheme="minorHAnsi"/>
                <w:color w:val="000000" w:themeColor="text1"/>
              </w:rPr>
              <w:t>Haavatavuste riskitase</w:t>
            </w:r>
          </w:p>
        </w:tc>
        <w:tc>
          <w:tcPr>
            <w:tcW w:w="4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074DAFD" w14:textId="77777777" w:rsidR="00501A29" w:rsidRPr="00DF0A76" w:rsidRDefault="00501A29" w:rsidP="0095138F">
            <w:pPr>
              <w:rPr>
                <w:rFonts w:eastAsia="Calibri" w:cstheme="minorHAnsi"/>
                <w:color w:val="000000" w:themeColor="text1"/>
              </w:rPr>
            </w:pPr>
            <w:r w:rsidRPr="00DF0A76">
              <w:rPr>
                <w:rFonts w:eastAsia="Calibri" w:cstheme="minorHAnsi"/>
                <w:color w:val="000000" w:themeColor="text1"/>
              </w:rPr>
              <w:t>Leevendusmeetme rakendamise aeg</w:t>
            </w:r>
          </w:p>
        </w:tc>
      </w:tr>
      <w:tr w:rsidR="00501A29" w:rsidRPr="00DF0A76" w14:paraId="3531DF01" w14:textId="77777777" w:rsidTr="0095138F">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1AD64897" w14:textId="77777777" w:rsidR="00501A29" w:rsidRPr="00DF0A76" w:rsidRDefault="00501A29" w:rsidP="0095138F">
            <w:pPr>
              <w:rPr>
                <w:rFonts w:eastAsia="Calibri" w:cstheme="minorHAnsi"/>
              </w:rPr>
            </w:pPr>
            <w:r w:rsidRPr="00DF0A76">
              <w:rPr>
                <w:rFonts w:eastAsia="Calibri" w:cstheme="minorHAnsi"/>
              </w:rPr>
              <w:t>Kriitiline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29AB8C4B" w14:textId="77777777" w:rsidR="00501A29" w:rsidRPr="00DF0A76" w:rsidRDefault="00501A29" w:rsidP="0095138F">
            <w:pPr>
              <w:rPr>
                <w:rFonts w:eastAsia="Calibri" w:cstheme="minorHAnsi"/>
              </w:rPr>
            </w:pPr>
            <w:r w:rsidRPr="00DF0A76">
              <w:rPr>
                <w:rFonts w:eastAsia="Calibri" w:cstheme="minorHAnsi"/>
              </w:rPr>
              <w:t>Alla 3 päeva</w:t>
            </w:r>
          </w:p>
        </w:tc>
      </w:tr>
      <w:tr w:rsidR="00501A29" w:rsidRPr="00DF0A76" w14:paraId="554E34B0" w14:textId="77777777" w:rsidTr="0095138F">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55450753" w14:textId="77777777" w:rsidR="00501A29" w:rsidRPr="00DF0A76" w:rsidRDefault="00501A29" w:rsidP="0095138F">
            <w:pPr>
              <w:rPr>
                <w:rFonts w:eastAsia="Calibri" w:cstheme="minorHAnsi"/>
              </w:rPr>
            </w:pPr>
            <w:r w:rsidRPr="00DF0A76">
              <w:rPr>
                <w:rFonts w:eastAsia="Calibri" w:cstheme="minorHAnsi"/>
              </w:rPr>
              <w:t>Kõrge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5436CC73" w14:textId="77777777" w:rsidR="00501A29" w:rsidRPr="00DF0A76" w:rsidRDefault="00501A29" w:rsidP="0095138F">
            <w:pPr>
              <w:rPr>
                <w:rFonts w:eastAsia="Calibri" w:cstheme="minorHAnsi"/>
              </w:rPr>
            </w:pPr>
            <w:r w:rsidRPr="00DF0A76">
              <w:rPr>
                <w:rFonts w:eastAsia="Calibri" w:cstheme="minorHAnsi"/>
              </w:rPr>
              <w:t>Alla 7 päeva</w:t>
            </w:r>
          </w:p>
        </w:tc>
      </w:tr>
      <w:tr w:rsidR="00501A29" w:rsidRPr="00DF0A76" w14:paraId="6BEA7BFF" w14:textId="77777777" w:rsidTr="0095138F">
        <w:trPr>
          <w:trHeight w:val="40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344826C5" w14:textId="77777777" w:rsidR="00501A29" w:rsidRPr="00DF0A76" w:rsidRDefault="00501A29" w:rsidP="0095138F">
            <w:pPr>
              <w:rPr>
                <w:rFonts w:eastAsia="Calibri" w:cstheme="minorHAnsi"/>
              </w:rPr>
            </w:pPr>
            <w:r w:rsidRPr="00DF0A76">
              <w:rPr>
                <w:rFonts w:eastAsia="Calibri" w:cstheme="minorHAnsi"/>
              </w:rPr>
              <w:t>Keskmine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4F041D72" w14:textId="77777777" w:rsidR="00501A29" w:rsidRPr="00DF0A76" w:rsidRDefault="00501A29" w:rsidP="0095138F">
            <w:pPr>
              <w:rPr>
                <w:rFonts w:eastAsia="Calibri" w:cstheme="minorHAnsi"/>
              </w:rPr>
            </w:pPr>
            <w:r w:rsidRPr="00DF0A76">
              <w:rPr>
                <w:rFonts w:eastAsia="Calibri" w:cstheme="minorHAnsi"/>
              </w:rPr>
              <w:t>90 päeva</w:t>
            </w:r>
          </w:p>
        </w:tc>
      </w:tr>
      <w:tr w:rsidR="00501A29" w:rsidRPr="00DF0A76" w14:paraId="6E2F0701" w14:textId="77777777" w:rsidTr="0095138F">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1DA3E0D2" w14:textId="77777777" w:rsidR="00501A29" w:rsidRPr="00DF0A76" w:rsidRDefault="00501A29" w:rsidP="0095138F">
            <w:pPr>
              <w:rPr>
                <w:rFonts w:eastAsia="Calibri" w:cstheme="minorHAnsi"/>
              </w:rPr>
            </w:pPr>
            <w:r w:rsidRPr="00DF0A76">
              <w:rPr>
                <w:rFonts w:eastAsia="Calibri" w:cstheme="minorHAnsi"/>
              </w:rPr>
              <w:t>Madal</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32F4A371" w14:textId="77777777" w:rsidR="00501A29" w:rsidRPr="00DF0A76" w:rsidRDefault="00501A29" w:rsidP="0095138F">
            <w:pPr>
              <w:rPr>
                <w:rFonts w:eastAsia="Calibri" w:cstheme="minorHAnsi"/>
              </w:rPr>
            </w:pPr>
            <w:r w:rsidRPr="00DF0A76">
              <w:rPr>
                <w:rFonts w:eastAsia="Calibri" w:cstheme="minorHAnsi"/>
              </w:rPr>
              <w:t>180 päeva</w:t>
            </w:r>
          </w:p>
        </w:tc>
      </w:tr>
    </w:tbl>
    <w:p w14:paraId="1D2CB337" w14:textId="77777777" w:rsidR="00501A29" w:rsidRPr="00DF0A76" w:rsidRDefault="00501A29" w:rsidP="00501A29">
      <w:pPr>
        <w:rPr>
          <w:rFonts w:asciiTheme="minorHAnsi" w:hAnsiTheme="minorHAnsi" w:cstheme="minorHAnsi"/>
          <w:szCs w:val="22"/>
        </w:rPr>
      </w:pPr>
    </w:p>
    <w:p w14:paraId="56E41694" w14:textId="77777777" w:rsidR="00501A29" w:rsidRPr="00DF0A76" w:rsidRDefault="00501A29" w:rsidP="00501A29">
      <w:pPr>
        <w:pStyle w:val="Heading1"/>
        <w:keepLines/>
        <w:tabs>
          <w:tab w:val="clear" w:pos="432"/>
        </w:tabs>
        <w:spacing w:before="60" w:after="120"/>
        <w:jc w:val="both"/>
        <w:rPr>
          <w:rFonts w:asciiTheme="minorHAnsi" w:hAnsiTheme="minorHAnsi" w:cstheme="minorHAnsi"/>
          <w:sz w:val="22"/>
          <w:szCs w:val="22"/>
        </w:rPr>
      </w:pPr>
      <w:bookmarkStart w:id="12" w:name="_Toc166501447"/>
      <w:bookmarkStart w:id="13" w:name="_Toc168301402"/>
      <w:r w:rsidRPr="00DF0A76">
        <w:rPr>
          <w:rFonts w:asciiTheme="minorHAnsi" w:hAnsiTheme="minorHAnsi" w:cstheme="minorHAnsi"/>
          <w:sz w:val="22"/>
          <w:szCs w:val="22"/>
        </w:rPr>
        <w:t>Turvanõrkuste leevendamine ja kõrvaldamine</w:t>
      </w:r>
      <w:bookmarkEnd w:id="12"/>
      <w:bookmarkEnd w:id="13"/>
    </w:p>
    <w:p w14:paraId="0742FE31" w14:textId="7813E2D9" w:rsidR="00501A29" w:rsidRPr="00DF0A76" w:rsidRDefault="00501A29" w:rsidP="006677E6">
      <w:pPr>
        <w:spacing w:after="160" w:line="257" w:lineRule="auto"/>
        <w:jc w:val="both"/>
        <w:rPr>
          <w:rFonts w:asciiTheme="minorHAnsi" w:eastAsia="Calibri" w:hAnsiTheme="minorHAnsi" w:cstheme="minorHAnsi"/>
          <w:szCs w:val="22"/>
        </w:rPr>
      </w:pPr>
      <w:r w:rsidRPr="00DF0A76">
        <w:rPr>
          <w:rFonts w:asciiTheme="minorHAnsi" w:eastAsia="Calibri" w:hAnsiTheme="minorHAnsi" w:cstheme="minorHAnsi"/>
          <w:szCs w:val="22"/>
        </w:rPr>
        <w:t xml:space="preserve">Infosüsteemi või infotehnoloogilise vara turvanõrkuste leevendamise ja kõrvaldamise eest vastutab süsteemiadministraator. Kui süsteemiadministraator on määramata, siis kõrvaldamise eest vastutab infosüsteemi omanik </w:t>
      </w:r>
      <w:r w:rsidR="00A775EA">
        <w:rPr>
          <w:rFonts w:asciiTheme="minorHAnsi" w:eastAsia="Calibri" w:hAnsiTheme="minorHAnsi" w:cstheme="minorHAnsi"/>
          <w:szCs w:val="22"/>
        </w:rPr>
        <w:t>või</w:t>
      </w:r>
      <w:r w:rsidRPr="00DF0A76">
        <w:rPr>
          <w:rFonts w:asciiTheme="minorHAnsi" w:eastAsia="Calibri" w:hAnsiTheme="minorHAnsi" w:cstheme="minorHAnsi"/>
          <w:szCs w:val="22"/>
        </w:rPr>
        <w:t xml:space="preserve"> äriprojektijuht.</w:t>
      </w:r>
    </w:p>
    <w:p w14:paraId="15016F66" w14:textId="12213AAD" w:rsidR="00501A29" w:rsidRPr="00A775EA" w:rsidRDefault="00501A29" w:rsidP="00A775EA">
      <w:pPr>
        <w:spacing w:line="257" w:lineRule="auto"/>
        <w:jc w:val="both"/>
        <w:rPr>
          <w:rFonts w:asciiTheme="minorHAnsi" w:eastAsia="Calibri" w:hAnsiTheme="minorHAnsi" w:cstheme="minorHAnsi"/>
          <w:szCs w:val="22"/>
        </w:rPr>
      </w:pPr>
      <w:r w:rsidRPr="00DF0A76">
        <w:rPr>
          <w:rFonts w:asciiTheme="minorHAnsi" w:hAnsiTheme="minorHAnsi" w:cstheme="minorHAnsi"/>
          <w:szCs w:val="22"/>
        </w:rPr>
        <w:t>Kriitiliste ja kõrgete turvanõrkuse avastamise ja teavituse saamise järel tuleb asuda koheselt, kuid mitte hiljem kui leevendusmeetme rakendusaeg, rakendama leevendusmeetmeid turvanõrkusest tuleneva riski maandamiseks. Kui on olemas juba teadaolev turvaparandus või uuendus, siis tuleks kasutada seda turvanõrkuse leev</w:t>
      </w:r>
      <w:r w:rsidR="006677E6">
        <w:rPr>
          <w:rFonts w:asciiTheme="minorHAnsi" w:hAnsiTheme="minorHAnsi" w:cstheme="minorHAnsi"/>
          <w:szCs w:val="22"/>
        </w:rPr>
        <w:t>e</w:t>
      </w:r>
      <w:r w:rsidRPr="00DF0A76">
        <w:rPr>
          <w:rFonts w:asciiTheme="minorHAnsi" w:hAnsiTheme="minorHAnsi" w:cstheme="minorHAnsi"/>
          <w:szCs w:val="22"/>
        </w:rPr>
        <w:t xml:space="preserve">ndamiseks või kõrvaldamiseks. </w:t>
      </w:r>
      <w:r w:rsidRPr="00DF0A76">
        <w:rPr>
          <w:rFonts w:asciiTheme="minorHAnsi" w:eastAsia="Calibri" w:hAnsiTheme="minorHAnsi" w:cstheme="minorHAnsi"/>
          <w:szCs w:val="22"/>
        </w:rPr>
        <w:t>Juhul kui uuendust ei ole võimalik paigaldada tehniliste piirangute või tootja ei ole asjakohast</w:t>
      </w:r>
      <w:r w:rsidR="00A775EA">
        <w:rPr>
          <w:rFonts w:asciiTheme="minorHAnsi" w:eastAsia="Calibri" w:hAnsiTheme="minorHAnsi" w:cstheme="minorHAnsi"/>
          <w:szCs w:val="22"/>
        </w:rPr>
        <w:t xml:space="preserve"> </w:t>
      </w:r>
      <w:r w:rsidR="006677E6" w:rsidRPr="00DF0A76">
        <w:rPr>
          <w:rFonts w:asciiTheme="minorHAnsi" w:eastAsia="Calibri" w:hAnsiTheme="minorHAnsi" w:cstheme="minorHAnsi"/>
          <w:szCs w:val="22"/>
        </w:rPr>
        <w:t>parandust välja andnud, siis tuleb asuda rakendama järgnevaid leevendusmeetmeid</w:t>
      </w:r>
      <w:r w:rsidR="00A775EA">
        <w:rPr>
          <w:rFonts w:asciiTheme="minorHAnsi" w:eastAsia="Calibri" w:hAnsiTheme="minorHAnsi" w:cstheme="minorHAnsi"/>
          <w:szCs w:val="22"/>
        </w:rPr>
        <w:t>:</w:t>
      </w:r>
    </w:p>
    <w:p w14:paraId="731B6B8D" w14:textId="77777777" w:rsidR="00501A29" w:rsidRPr="00DF0A76" w:rsidRDefault="00501A29" w:rsidP="006677E6">
      <w:pPr>
        <w:pStyle w:val="ListParagraph"/>
        <w:numPr>
          <w:ilvl w:val="0"/>
          <w:numId w:val="10"/>
        </w:numPr>
        <w:spacing w:after="160" w:line="257" w:lineRule="auto"/>
        <w:rPr>
          <w:rFonts w:eastAsia="Calibri" w:cstheme="minorHAnsi"/>
        </w:rPr>
      </w:pPr>
      <w:r w:rsidRPr="00DF0A76">
        <w:rPr>
          <w:rFonts w:eastAsia="Calibri" w:cstheme="minorHAnsi"/>
        </w:rPr>
        <w:t>Lülitada välja nõrkust puudutav infosüsteem või infotehnoloogiline vara;</w:t>
      </w:r>
    </w:p>
    <w:p w14:paraId="7DF9F5B5" w14:textId="61E0ECF2" w:rsidR="00501A29" w:rsidRPr="00DF0A76" w:rsidRDefault="00501A29" w:rsidP="006677E6">
      <w:pPr>
        <w:pStyle w:val="ListParagraph"/>
        <w:numPr>
          <w:ilvl w:val="0"/>
          <w:numId w:val="10"/>
        </w:numPr>
        <w:spacing w:after="160" w:line="257" w:lineRule="auto"/>
        <w:rPr>
          <w:rFonts w:eastAsia="Calibri" w:cstheme="minorHAnsi"/>
        </w:rPr>
      </w:pPr>
      <w:r w:rsidRPr="00DF0A76">
        <w:rPr>
          <w:rFonts w:eastAsia="Calibri" w:cstheme="minorHAnsi"/>
        </w:rPr>
        <w:t>Piirata ligipääs infosüsteemile või infotehnoloogilisele</w:t>
      </w:r>
      <w:r w:rsidR="006677E6">
        <w:rPr>
          <w:rFonts w:eastAsia="Calibri" w:cstheme="minorHAnsi"/>
        </w:rPr>
        <w:t xml:space="preserve"> varale</w:t>
      </w:r>
      <w:r w:rsidRPr="00DF0A76">
        <w:rPr>
          <w:rFonts w:eastAsia="Calibri" w:cstheme="minorHAnsi"/>
        </w:rPr>
        <w:t xml:space="preserve"> võrgutasandil; </w:t>
      </w:r>
    </w:p>
    <w:p w14:paraId="795419C3" w14:textId="77777777" w:rsidR="00501A29" w:rsidRPr="00DF0A76" w:rsidRDefault="00501A29" w:rsidP="006677E6">
      <w:pPr>
        <w:pStyle w:val="ListParagraph"/>
        <w:numPr>
          <w:ilvl w:val="0"/>
          <w:numId w:val="10"/>
        </w:numPr>
        <w:spacing w:after="160" w:line="257" w:lineRule="auto"/>
        <w:rPr>
          <w:rFonts w:eastAsia="Calibri" w:cstheme="minorHAnsi"/>
        </w:rPr>
      </w:pPr>
      <w:r w:rsidRPr="00DF0A76">
        <w:rPr>
          <w:rFonts w:eastAsia="Calibri" w:cstheme="minorHAnsi"/>
        </w:rPr>
        <w:lastRenderedPageBreak/>
        <w:t xml:space="preserve">Nõrkust sisaldavad </w:t>
      </w:r>
      <w:proofErr w:type="spellStart"/>
      <w:r w:rsidRPr="00DF0A76">
        <w:rPr>
          <w:rFonts w:eastAsia="Calibri" w:cstheme="minorHAnsi"/>
        </w:rPr>
        <w:t>infosüsteemid</w:t>
      </w:r>
      <w:proofErr w:type="spellEnd"/>
      <w:r w:rsidRPr="00DF0A76">
        <w:rPr>
          <w:rFonts w:eastAsia="Calibri" w:cstheme="minorHAnsi"/>
        </w:rPr>
        <w:t xml:space="preserve"> või infotehnoloogilised varad varjestada sobivate liiklusfiltritega:</w:t>
      </w:r>
    </w:p>
    <w:p w14:paraId="2A6D352B" w14:textId="77777777" w:rsidR="00501A29" w:rsidRPr="00DF0A76" w:rsidRDefault="00501A29" w:rsidP="006677E6">
      <w:pPr>
        <w:pStyle w:val="ListParagraph"/>
        <w:numPr>
          <w:ilvl w:val="0"/>
          <w:numId w:val="10"/>
        </w:numPr>
        <w:spacing w:after="160" w:line="257" w:lineRule="auto"/>
        <w:rPr>
          <w:rFonts w:eastAsia="Calibri" w:cstheme="minorHAnsi"/>
        </w:rPr>
      </w:pPr>
      <w:r w:rsidRPr="00DF0A76">
        <w:rPr>
          <w:rFonts w:eastAsia="Calibri" w:cstheme="minorHAnsi"/>
        </w:rPr>
        <w:t xml:space="preserve">Muud asjakohased leevendusmeetmed maandamaks riskitaset. </w:t>
      </w:r>
    </w:p>
    <w:p w14:paraId="3A9D78AE" w14:textId="5815FD49" w:rsidR="00501A29" w:rsidRPr="00DF0A76" w:rsidRDefault="00501A29" w:rsidP="006677E6">
      <w:pPr>
        <w:spacing w:after="160" w:line="257" w:lineRule="auto"/>
        <w:jc w:val="both"/>
        <w:rPr>
          <w:rFonts w:asciiTheme="minorHAnsi" w:eastAsia="Calibri" w:hAnsiTheme="minorHAnsi" w:cstheme="minorHAnsi"/>
          <w:szCs w:val="22"/>
        </w:rPr>
      </w:pPr>
      <w:r w:rsidRPr="00DF0A76">
        <w:rPr>
          <w:rFonts w:asciiTheme="minorHAnsi" w:eastAsia="Calibri" w:hAnsiTheme="minorHAnsi" w:cstheme="minorHAnsi"/>
          <w:szCs w:val="22"/>
        </w:rPr>
        <w:t>Turvanõrkuste kõrvaldamiseks tuleb kasutada uuendusi, mis pärinevad usaldusväärsetest allikatest ning enne kasutuselevõttu</w:t>
      </w:r>
      <w:r w:rsidR="004F5B14">
        <w:rPr>
          <w:rFonts w:asciiTheme="minorHAnsi" w:eastAsia="Calibri" w:hAnsiTheme="minorHAnsi" w:cstheme="minorHAnsi"/>
          <w:szCs w:val="22"/>
        </w:rPr>
        <w:t xml:space="preserve"> tuleb</w:t>
      </w:r>
      <w:r w:rsidRPr="00DF0A76">
        <w:rPr>
          <w:rFonts w:asciiTheme="minorHAnsi" w:eastAsia="Calibri" w:hAnsiTheme="minorHAnsi" w:cstheme="minorHAnsi"/>
          <w:szCs w:val="22"/>
        </w:rPr>
        <w:t xml:space="preserve"> hinna</w:t>
      </w:r>
      <w:r w:rsidR="004F5B14">
        <w:rPr>
          <w:rFonts w:asciiTheme="minorHAnsi" w:eastAsia="Calibri" w:hAnsiTheme="minorHAnsi" w:cstheme="minorHAnsi"/>
          <w:szCs w:val="22"/>
        </w:rPr>
        <w:t>ta</w:t>
      </w:r>
      <w:r w:rsidRPr="00DF0A76">
        <w:rPr>
          <w:rFonts w:asciiTheme="minorHAnsi" w:eastAsia="Calibri" w:hAnsiTheme="minorHAnsi" w:cstheme="minorHAnsi"/>
          <w:szCs w:val="22"/>
        </w:rPr>
        <w:t xml:space="preserve"> ja testida nende toimivust. </w:t>
      </w:r>
    </w:p>
    <w:p w14:paraId="462B7EAE" w14:textId="083C4F6A" w:rsidR="00501A29" w:rsidRPr="00DF0A76" w:rsidRDefault="00501A29" w:rsidP="006677E6">
      <w:pPr>
        <w:spacing w:after="160" w:line="257" w:lineRule="auto"/>
        <w:jc w:val="both"/>
        <w:rPr>
          <w:rFonts w:asciiTheme="minorHAnsi" w:eastAsia="Calibri" w:hAnsiTheme="minorHAnsi" w:cstheme="minorHAnsi"/>
          <w:szCs w:val="22"/>
        </w:rPr>
      </w:pPr>
      <w:r w:rsidRPr="00DF0A76">
        <w:rPr>
          <w:rFonts w:asciiTheme="minorHAnsi" w:eastAsia="Calibri" w:hAnsiTheme="minorHAnsi" w:cstheme="minorHAnsi"/>
          <w:szCs w:val="22"/>
        </w:rPr>
        <w:t>Keskmiste ja madalate turvanõrkuste puhul tuleb leevendusmeetmed rakendada mitte hiljemalt kui on välja toodud rakendamise aeg. Võimalusel rakendada selle aja jooksul meetme</w:t>
      </w:r>
      <w:r w:rsidR="004F7580">
        <w:rPr>
          <w:rFonts w:asciiTheme="minorHAnsi" w:eastAsia="Calibri" w:hAnsiTheme="minorHAnsi" w:cstheme="minorHAnsi"/>
          <w:szCs w:val="22"/>
        </w:rPr>
        <w:t>d</w:t>
      </w:r>
      <w:r w:rsidRPr="00DF0A76">
        <w:rPr>
          <w:rFonts w:asciiTheme="minorHAnsi" w:eastAsia="Calibri" w:hAnsiTheme="minorHAnsi" w:cstheme="minorHAnsi"/>
          <w:szCs w:val="22"/>
        </w:rPr>
        <w:t xml:space="preserve">, mis turvanõrkuse </w:t>
      </w:r>
      <w:r w:rsidR="004F7580">
        <w:rPr>
          <w:rFonts w:asciiTheme="minorHAnsi" w:eastAsia="Calibri" w:hAnsiTheme="minorHAnsi" w:cstheme="minorHAnsi"/>
          <w:szCs w:val="22"/>
        </w:rPr>
        <w:t xml:space="preserve">lõplikult </w:t>
      </w:r>
      <w:r w:rsidRPr="00DF0A76">
        <w:rPr>
          <w:rFonts w:asciiTheme="minorHAnsi" w:eastAsia="Calibri" w:hAnsiTheme="minorHAnsi" w:cstheme="minorHAnsi"/>
          <w:szCs w:val="22"/>
        </w:rPr>
        <w:t xml:space="preserve">kõrvaldavad. </w:t>
      </w:r>
    </w:p>
    <w:p w14:paraId="0DA7C064" w14:textId="30E8CE70" w:rsidR="00501A29" w:rsidRPr="00DF0A76" w:rsidRDefault="00501A29" w:rsidP="006677E6">
      <w:pPr>
        <w:spacing w:after="160" w:line="257" w:lineRule="auto"/>
        <w:jc w:val="both"/>
        <w:rPr>
          <w:rFonts w:asciiTheme="minorHAnsi" w:eastAsia="Calibri" w:hAnsiTheme="minorHAnsi" w:cstheme="minorHAnsi"/>
          <w:szCs w:val="22"/>
        </w:rPr>
      </w:pPr>
      <w:r w:rsidRPr="00DF0A76">
        <w:rPr>
          <w:rFonts w:asciiTheme="minorHAnsi" w:eastAsia="Calibri" w:hAnsiTheme="minorHAnsi" w:cstheme="minorHAnsi"/>
          <w:szCs w:val="22"/>
        </w:rPr>
        <w:t xml:space="preserve">Juhul kui infosüsteemi </w:t>
      </w:r>
      <w:r w:rsidR="004F7580">
        <w:rPr>
          <w:rFonts w:asciiTheme="minorHAnsi" w:eastAsia="Calibri" w:hAnsiTheme="minorHAnsi" w:cstheme="minorHAnsi"/>
          <w:szCs w:val="22"/>
        </w:rPr>
        <w:t>süsteemi</w:t>
      </w:r>
      <w:r w:rsidRPr="00DF0A76">
        <w:rPr>
          <w:rFonts w:asciiTheme="minorHAnsi" w:eastAsia="Calibri" w:hAnsiTheme="minorHAnsi" w:cstheme="minorHAnsi"/>
          <w:szCs w:val="22"/>
        </w:rPr>
        <w:t xml:space="preserve">administraator või äriprojektijuht </w:t>
      </w:r>
      <w:r w:rsidR="004F7580">
        <w:rPr>
          <w:rFonts w:asciiTheme="minorHAnsi" w:eastAsia="Calibri" w:hAnsiTheme="minorHAnsi" w:cstheme="minorHAnsi"/>
          <w:szCs w:val="22"/>
        </w:rPr>
        <w:t xml:space="preserve">või </w:t>
      </w:r>
      <w:r w:rsidRPr="00DF0A76">
        <w:rPr>
          <w:rFonts w:asciiTheme="minorHAnsi" w:eastAsia="Calibri" w:hAnsiTheme="minorHAnsi" w:cstheme="minorHAnsi"/>
          <w:szCs w:val="22"/>
        </w:rPr>
        <w:t>infotehnoloogilise vara omanik ei ole peale teavitamist asunud rakendama kriitiliste või kõrgete haavatavuste riskitasemete juures leevendusmeetmeid ettenähtud aja jooksul, siis infoturbejuhil või tema volitatud isikutel on õigus asuda leevendusmeetmeid rakendama iseseisvalt. See võib tuua kaasa infosüsteemi või infotehnoloogilise vara käideldavuse kao. Sellisel juhul infoturbe</w:t>
      </w:r>
      <w:r w:rsidR="002E258E">
        <w:rPr>
          <w:rFonts w:asciiTheme="minorHAnsi" w:eastAsia="Calibri" w:hAnsiTheme="minorHAnsi" w:cstheme="minorHAnsi"/>
          <w:szCs w:val="22"/>
        </w:rPr>
        <w:t xml:space="preserve"> </w:t>
      </w:r>
      <w:r w:rsidRPr="00DF0A76">
        <w:rPr>
          <w:rFonts w:asciiTheme="minorHAnsi" w:eastAsia="Calibri" w:hAnsiTheme="minorHAnsi" w:cstheme="minorHAnsi"/>
          <w:szCs w:val="22"/>
        </w:rPr>
        <w:t>talitus ei vastuta võimalikke kaasnevate kahjude eest.</w:t>
      </w:r>
    </w:p>
    <w:p w14:paraId="778C745F" w14:textId="554C2B94" w:rsidR="00501A29" w:rsidRPr="00DF0A76" w:rsidRDefault="00501A29" w:rsidP="006677E6">
      <w:pPr>
        <w:spacing w:after="160" w:line="257" w:lineRule="auto"/>
        <w:jc w:val="both"/>
        <w:rPr>
          <w:rFonts w:asciiTheme="minorHAnsi" w:eastAsia="Calibri" w:hAnsiTheme="minorHAnsi" w:cstheme="minorHAnsi"/>
          <w:szCs w:val="22"/>
        </w:rPr>
      </w:pPr>
      <w:r w:rsidRPr="00DF0A76">
        <w:rPr>
          <w:rFonts w:asciiTheme="minorHAnsi" w:eastAsia="Calibri" w:hAnsiTheme="minorHAnsi" w:cstheme="minorHAnsi"/>
          <w:szCs w:val="22"/>
        </w:rPr>
        <w:t>Kui infosüsteemi administraator või äriprojektijuht</w:t>
      </w:r>
      <w:r w:rsidR="004F7580">
        <w:rPr>
          <w:rFonts w:asciiTheme="minorHAnsi" w:eastAsia="Calibri" w:hAnsiTheme="minorHAnsi" w:cstheme="minorHAnsi"/>
          <w:szCs w:val="22"/>
        </w:rPr>
        <w:t xml:space="preserve"> või</w:t>
      </w:r>
      <w:r w:rsidRPr="00DF0A76">
        <w:rPr>
          <w:rFonts w:asciiTheme="minorHAnsi" w:eastAsia="Calibri" w:hAnsiTheme="minorHAnsi" w:cstheme="minorHAnsi"/>
          <w:szCs w:val="22"/>
        </w:rPr>
        <w:t xml:space="preserve"> infotehnoloogilise vara omanik on rakendanud leevendusmeetmed või kõrvaldanud turvanõrkuse, siis tuleb sellest kirjalikult informeerida infoturbe</w:t>
      </w:r>
      <w:r w:rsidR="002E258E">
        <w:rPr>
          <w:rFonts w:asciiTheme="minorHAnsi" w:eastAsia="Calibri" w:hAnsiTheme="minorHAnsi" w:cstheme="minorHAnsi"/>
          <w:szCs w:val="22"/>
        </w:rPr>
        <w:t xml:space="preserve"> </w:t>
      </w:r>
      <w:r w:rsidRPr="00DF0A76">
        <w:rPr>
          <w:rFonts w:asciiTheme="minorHAnsi" w:eastAsia="Calibri" w:hAnsiTheme="minorHAnsi" w:cstheme="minorHAnsi"/>
          <w:szCs w:val="22"/>
        </w:rPr>
        <w:t>talitust. Seejärel infoturbe</w:t>
      </w:r>
      <w:r w:rsidR="002E258E">
        <w:rPr>
          <w:rFonts w:asciiTheme="minorHAnsi" w:eastAsia="Calibri" w:hAnsiTheme="minorHAnsi" w:cstheme="minorHAnsi"/>
          <w:szCs w:val="22"/>
        </w:rPr>
        <w:t xml:space="preserve"> </w:t>
      </w:r>
      <w:r w:rsidRPr="00DF0A76">
        <w:rPr>
          <w:rFonts w:asciiTheme="minorHAnsi" w:eastAsia="Calibri" w:hAnsiTheme="minorHAnsi" w:cstheme="minorHAnsi"/>
          <w:szCs w:val="22"/>
        </w:rPr>
        <w:t xml:space="preserve">talitus teeb järelkontrolli veendumaks nõrkuse kõrvaldamisest või selle leevendamisest. </w:t>
      </w:r>
    </w:p>
    <w:p w14:paraId="62595B9E" w14:textId="77777777" w:rsidR="00501A29" w:rsidRPr="00DF0A76" w:rsidRDefault="00501A29" w:rsidP="006677E6">
      <w:pPr>
        <w:pStyle w:val="Heading1"/>
        <w:keepLines/>
        <w:tabs>
          <w:tab w:val="clear" w:pos="432"/>
        </w:tabs>
        <w:spacing w:before="60" w:after="120"/>
        <w:jc w:val="both"/>
        <w:rPr>
          <w:rFonts w:asciiTheme="minorHAnsi" w:hAnsiTheme="minorHAnsi" w:cstheme="minorHAnsi"/>
          <w:sz w:val="22"/>
          <w:szCs w:val="22"/>
        </w:rPr>
      </w:pPr>
      <w:bookmarkStart w:id="14" w:name="_Toc166501448"/>
      <w:bookmarkStart w:id="15" w:name="_Toc168301403"/>
      <w:r w:rsidRPr="00DF0A76">
        <w:rPr>
          <w:rFonts w:asciiTheme="minorHAnsi" w:hAnsiTheme="minorHAnsi" w:cstheme="minorHAnsi"/>
          <w:sz w:val="22"/>
          <w:szCs w:val="22"/>
        </w:rPr>
        <w:t>Testimine</w:t>
      </w:r>
      <w:bookmarkEnd w:id="14"/>
      <w:bookmarkEnd w:id="15"/>
    </w:p>
    <w:p w14:paraId="191CA706" w14:textId="77777777" w:rsidR="00501A29" w:rsidRPr="00DF0A76" w:rsidRDefault="00501A29" w:rsidP="006677E6">
      <w:pPr>
        <w:spacing w:line="257" w:lineRule="auto"/>
        <w:jc w:val="both"/>
        <w:rPr>
          <w:rFonts w:asciiTheme="minorHAnsi" w:eastAsia="Calibri" w:hAnsiTheme="minorHAnsi" w:cstheme="minorHAnsi"/>
          <w:szCs w:val="22"/>
        </w:rPr>
      </w:pPr>
      <w:r w:rsidRPr="00DF0A76">
        <w:rPr>
          <w:rFonts w:asciiTheme="minorHAnsi" w:eastAsia="Calibri" w:hAnsiTheme="minorHAnsi" w:cstheme="minorHAnsi"/>
          <w:szCs w:val="22"/>
        </w:rPr>
        <w:t xml:space="preserve">Turvanõrkuste halduse etalontoimivuse juurde käivad regulaarsed turva- ja läbistustestid, mida viiakse kriitiliste süsteemikomponentide peal läbi vähemalt kord aastas või suuremate muudatuste korral usaldusväärsete väliste partnerite poolt. Testimiste tulemustest lähtuvalt tuleb algatada leevendusmeetmete rakendamine ja turvanõrkuste kõrvaldamine vastavalt haavatavuste riskitasemele. </w:t>
      </w:r>
    </w:p>
    <w:p w14:paraId="7B4056DC" w14:textId="77777777" w:rsidR="00501A29" w:rsidRPr="00DF0A76" w:rsidRDefault="00501A29" w:rsidP="006677E6">
      <w:pPr>
        <w:pStyle w:val="Heading1"/>
        <w:keepLines/>
        <w:tabs>
          <w:tab w:val="clear" w:pos="432"/>
        </w:tabs>
        <w:spacing w:before="60" w:after="120"/>
        <w:jc w:val="both"/>
        <w:rPr>
          <w:rFonts w:asciiTheme="minorHAnsi" w:hAnsiTheme="minorHAnsi" w:cstheme="minorHAnsi"/>
          <w:sz w:val="22"/>
          <w:szCs w:val="22"/>
        </w:rPr>
      </w:pPr>
      <w:bookmarkStart w:id="16" w:name="_Toc166501449"/>
      <w:bookmarkStart w:id="17" w:name="_Toc168301404"/>
      <w:r w:rsidRPr="00DF0A76">
        <w:rPr>
          <w:rFonts w:asciiTheme="minorHAnsi" w:hAnsiTheme="minorHAnsi" w:cstheme="minorHAnsi"/>
          <w:sz w:val="22"/>
          <w:szCs w:val="22"/>
        </w:rPr>
        <w:t>Erisused</w:t>
      </w:r>
      <w:bookmarkEnd w:id="16"/>
      <w:bookmarkEnd w:id="17"/>
    </w:p>
    <w:p w14:paraId="6E513346" w14:textId="77777777" w:rsidR="00501A29" w:rsidRPr="00DF0A76" w:rsidRDefault="00501A29" w:rsidP="006677E6">
      <w:pPr>
        <w:spacing w:line="257" w:lineRule="auto"/>
        <w:jc w:val="both"/>
        <w:rPr>
          <w:rFonts w:asciiTheme="minorHAnsi" w:eastAsia="Calibri" w:hAnsiTheme="minorHAnsi" w:cstheme="minorHAnsi"/>
          <w:szCs w:val="22"/>
        </w:rPr>
      </w:pPr>
      <w:r w:rsidRPr="00DF0A76">
        <w:rPr>
          <w:rFonts w:asciiTheme="minorHAnsi" w:eastAsia="Calibri" w:hAnsiTheme="minorHAnsi" w:cstheme="minorHAnsi"/>
          <w:szCs w:val="22"/>
        </w:rPr>
        <w:t xml:space="preserve">Mõningatel juhtudel on vajalik kõrvalekalle haavatavuste haldamise protseduurist tehniliste piirangute või kolmandate osapoolte lepinguliste kohustuste tõttu. Sellised erandid tuleb kirjalikult dokumenteerida ning need kinnitatakse infoturbejuhi poolt. </w:t>
      </w:r>
    </w:p>
    <w:p w14:paraId="3C290049" w14:textId="77777777" w:rsidR="00501A29" w:rsidRPr="00DF0A76" w:rsidRDefault="00501A29" w:rsidP="006677E6">
      <w:pPr>
        <w:pStyle w:val="Heading1"/>
        <w:keepLines/>
        <w:tabs>
          <w:tab w:val="clear" w:pos="432"/>
        </w:tabs>
        <w:spacing w:before="60" w:after="120"/>
        <w:jc w:val="both"/>
        <w:rPr>
          <w:rFonts w:asciiTheme="minorHAnsi" w:hAnsiTheme="minorHAnsi" w:cstheme="minorHAnsi"/>
          <w:sz w:val="22"/>
          <w:szCs w:val="22"/>
        </w:rPr>
      </w:pPr>
      <w:bookmarkStart w:id="18" w:name="_Toc166501450"/>
      <w:bookmarkStart w:id="19" w:name="_Toc168301405"/>
      <w:r w:rsidRPr="00DF0A76">
        <w:rPr>
          <w:rFonts w:asciiTheme="minorHAnsi" w:hAnsiTheme="minorHAnsi" w:cstheme="minorHAnsi"/>
          <w:sz w:val="22"/>
          <w:szCs w:val="22"/>
        </w:rPr>
        <w:t>Järelevalve</w:t>
      </w:r>
      <w:bookmarkEnd w:id="18"/>
      <w:bookmarkEnd w:id="19"/>
    </w:p>
    <w:p w14:paraId="48C99449" w14:textId="5D095084" w:rsidR="00501A29" w:rsidRPr="00DF0A76" w:rsidRDefault="00501A29" w:rsidP="006677E6">
      <w:pPr>
        <w:spacing w:line="257" w:lineRule="auto"/>
        <w:jc w:val="both"/>
        <w:rPr>
          <w:rFonts w:asciiTheme="minorHAnsi" w:eastAsia="Calibri" w:hAnsiTheme="minorHAnsi" w:cstheme="minorHAnsi"/>
          <w:szCs w:val="22"/>
        </w:rPr>
      </w:pPr>
      <w:r w:rsidRPr="00DF0A76">
        <w:rPr>
          <w:rFonts w:asciiTheme="minorHAnsi" w:eastAsia="Calibri" w:hAnsiTheme="minorHAnsi" w:cstheme="minorHAnsi"/>
          <w:szCs w:val="22"/>
        </w:rPr>
        <w:t>Turvanõrkuste haldamise korra rakendamis</w:t>
      </w:r>
      <w:r w:rsidR="00B8348C">
        <w:rPr>
          <w:rFonts w:asciiTheme="minorHAnsi" w:eastAsia="Calibri" w:hAnsiTheme="minorHAnsi" w:cstheme="minorHAnsi"/>
          <w:szCs w:val="22"/>
        </w:rPr>
        <w:t xml:space="preserve">e järelevalvet teeb </w:t>
      </w:r>
      <w:r w:rsidRPr="00DF0A76">
        <w:rPr>
          <w:rFonts w:asciiTheme="minorHAnsi" w:eastAsia="Calibri" w:hAnsiTheme="minorHAnsi" w:cstheme="minorHAnsi"/>
          <w:szCs w:val="22"/>
        </w:rPr>
        <w:t>siseaudit lähtuvalt siseauditi tööplaanis</w:t>
      </w:r>
      <w:r w:rsidR="00B8348C">
        <w:rPr>
          <w:rFonts w:asciiTheme="minorHAnsi" w:eastAsia="Calibri" w:hAnsiTheme="minorHAnsi" w:cstheme="minorHAnsi"/>
          <w:szCs w:val="22"/>
        </w:rPr>
        <w:t>t, kuid mitte harvem kui kord kolme aasta jooksul.</w:t>
      </w:r>
    </w:p>
    <w:p w14:paraId="245D27B7" w14:textId="784A8776" w:rsidR="00B130E3" w:rsidRPr="00DF0A76" w:rsidRDefault="00B130E3" w:rsidP="006677E6">
      <w:pPr>
        <w:pStyle w:val="Lisatekst"/>
        <w:numPr>
          <w:ilvl w:val="0"/>
          <w:numId w:val="0"/>
        </w:numPr>
        <w:jc w:val="both"/>
        <w:rPr>
          <w:rFonts w:asciiTheme="minorHAnsi" w:hAnsiTheme="minorHAnsi" w:cstheme="minorHAnsi"/>
          <w:szCs w:val="22"/>
        </w:rPr>
      </w:pPr>
    </w:p>
    <w:p w14:paraId="24C95047" w14:textId="77777777" w:rsidR="00B130E3" w:rsidRPr="00DF0A76" w:rsidRDefault="00B130E3" w:rsidP="006677E6">
      <w:pPr>
        <w:jc w:val="both"/>
        <w:rPr>
          <w:rFonts w:asciiTheme="minorHAnsi" w:hAnsiTheme="minorHAnsi" w:cstheme="minorHAnsi"/>
          <w:szCs w:val="22"/>
        </w:rPr>
      </w:pPr>
    </w:p>
    <w:bookmarkEnd w:id="0"/>
    <w:p w14:paraId="5A19817E" w14:textId="77777777" w:rsidR="00B130E3" w:rsidRPr="00DF0A76" w:rsidRDefault="00B130E3" w:rsidP="006677E6">
      <w:pPr>
        <w:jc w:val="both"/>
        <w:rPr>
          <w:rFonts w:asciiTheme="minorHAnsi" w:hAnsiTheme="minorHAnsi" w:cstheme="minorHAnsi"/>
          <w:szCs w:val="22"/>
        </w:rPr>
      </w:pPr>
    </w:p>
    <w:sectPr w:rsidR="00B130E3" w:rsidRPr="00DF0A76" w:rsidSect="00FF5E7A">
      <w:headerReference w:type="even" r:id="rId10"/>
      <w:headerReference w:type="default" r:id="rId11"/>
      <w:footerReference w:type="even" r:id="rId12"/>
      <w:pgSz w:w="11906" w:h="16838" w:code="9"/>
      <w:pgMar w:top="680" w:right="851" w:bottom="680"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0456" w14:textId="77777777" w:rsidR="001F3E19" w:rsidRDefault="001F3E19">
      <w:r>
        <w:separator/>
      </w:r>
    </w:p>
  </w:endnote>
  <w:endnote w:type="continuationSeparator" w:id="0">
    <w:p w14:paraId="1CC580F1" w14:textId="77777777" w:rsidR="001F3E19" w:rsidRDefault="001F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B161" w14:textId="77777777" w:rsidR="00450B27" w:rsidRDefault="00450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47884A" w14:textId="77777777" w:rsidR="00450B27" w:rsidRDefault="00450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1D08" w14:textId="77777777" w:rsidR="00DF0A76" w:rsidRDefault="0052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FA7A2C" w14:textId="77777777" w:rsidR="00DF0A76" w:rsidRDefault="00DF0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B7F9" w14:textId="77777777" w:rsidR="001F3E19" w:rsidRDefault="001F3E19">
      <w:r>
        <w:separator/>
      </w:r>
    </w:p>
  </w:footnote>
  <w:footnote w:type="continuationSeparator" w:id="0">
    <w:p w14:paraId="01F49E95" w14:textId="77777777" w:rsidR="001F3E19" w:rsidRDefault="001F3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BE49" w14:textId="77777777" w:rsidR="00450B27" w:rsidRDefault="00450B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0B370" w14:textId="77777777" w:rsidR="00450B27" w:rsidRDefault="00450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ECA3" w14:textId="77777777" w:rsidR="00DF0A76" w:rsidRDefault="005226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54F052" w14:textId="77777777" w:rsidR="00DF0A76" w:rsidRDefault="00DF0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816147"/>
      <w:docPartObj>
        <w:docPartGallery w:val="Page Numbers (Top of Page)"/>
        <w:docPartUnique/>
      </w:docPartObj>
    </w:sdtPr>
    <w:sdtEndPr/>
    <w:sdtContent>
      <w:p w14:paraId="7883E032" w14:textId="77777777" w:rsidR="00FF5E7A" w:rsidRDefault="00FF5E7A">
        <w:pPr>
          <w:pStyle w:val="Header"/>
          <w:jc w:val="center"/>
        </w:pPr>
        <w:r>
          <w:fldChar w:fldCharType="begin"/>
        </w:r>
        <w:r>
          <w:instrText>PAGE   \* MERGEFORMAT</w:instrText>
        </w:r>
        <w:r>
          <w:fldChar w:fldCharType="separate"/>
        </w:r>
        <w:r w:rsidR="00F26A50">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6F22E35"/>
    <w:multiLevelType w:val="hybridMultilevel"/>
    <w:tmpl w:val="FFFFFFFF"/>
    <w:lvl w:ilvl="0" w:tplc="1F6CC462">
      <w:start w:val="1"/>
      <w:numFmt w:val="bullet"/>
      <w:lvlText w:val=""/>
      <w:lvlJc w:val="left"/>
      <w:pPr>
        <w:ind w:left="720" w:hanging="360"/>
      </w:pPr>
      <w:rPr>
        <w:rFonts w:ascii="Symbol" w:hAnsi="Symbol" w:hint="default"/>
      </w:rPr>
    </w:lvl>
    <w:lvl w:ilvl="1" w:tplc="842060CA">
      <w:start w:val="1"/>
      <w:numFmt w:val="bullet"/>
      <w:lvlText w:val="o"/>
      <w:lvlJc w:val="left"/>
      <w:pPr>
        <w:ind w:left="1440" w:hanging="360"/>
      </w:pPr>
      <w:rPr>
        <w:rFonts w:ascii="Courier New" w:hAnsi="Courier New" w:hint="default"/>
      </w:rPr>
    </w:lvl>
    <w:lvl w:ilvl="2" w:tplc="9A7ADC46">
      <w:start w:val="1"/>
      <w:numFmt w:val="bullet"/>
      <w:lvlText w:val=""/>
      <w:lvlJc w:val="left"/>
      <w:pPr>
        <w:ind w:left="2160" w:hanging="360"/>
      </w:pPr>
      <w:rPr>
        <w:rFonts w:ascii="Wingdings" w:hAnsi="Wingdings" w:hint="default"/>
      </w:rPr>
    </w:lvl>
    <w:lvl w:ilvl="3" w:tplc="07F83018">
      <w:start w:val="1"/>
      <w:numFmt w:val="bullet"/>
      <w:lvlText w:val=""/>
      <w:lvlJc w:val="left"/>
      <w:pPr>
        <w:ind w:left="2880" w:hanging="360"/>
      </w:pPr>
      <w:rPr>
        <w:rFonts w:ascii="Symbol" w:hAnsi="Symbol" w:hint="default"/>
      </w:rPr>
    </w:lvl>
    <w:lvl w:ilvl="4" w:tplc="6B8E872C">
      <w:start w:val="1"/>
      <w:numFmt w:val="bullet"/>
      <w:lvlText w:val="o"/>
      <w:lvlJc w:val="left"/>
      <w:pPr>
        <w:ind w:left="3600" w:hanging="360"/>
      </w:pPr>
      <w:rPr>
        <w:rFonts w:ascii="Courier New" w:hAnsi="Courier New" w:hint="default"/>
      </w:rPr>
    </w:lvl>
    <w:lvl w:ilvl="5" w:tplc="115090E8">
      <w:start w:val="1"/>
      <w:numFmt w:val="bullet"/>
      <w:lvlText w:val=""/>
      <w:lvlJc w:val="left"/>
      <w:pPr>
        <w:ind w:left="4320" w:hanging="360"/>
      </w:pPr>
      <w:rPr>
        <w:rFonts w:ascii="Wingdings" w:hAnsi="Wingdings" w:hint="default"/>
      </w:rPr>
    </w:lvl>
    <w:lvl w:ilvl="6" w:tplc="B60223C6">
      <w:start w:val="1"/>
      <w:numFmt w:val="bullet"/>
      <w:lvlText w:val=""/>
      <w:lvlJc w:val="left"/>
      <w:pPr>
        <w:ind w:left="5040" w:hanging="360"/>
      </w:pPr>
      <w:rPr>
        <w:rFonts w:ascii="Symbol" w:hAnsi="Symbol" w:hint="default"/>
      </w:rPr>
    </w:lvl>
    <w:lvl w:ilvl="7" w:tplc="E4424EF8">
      <w:start w:val="1"/>
      <w:numFmt w:val="bullet"/>
      <w:lvlText w:val="o"/>
      <w:lvlJc w:val="left"/>
      <w:pPr>
        <w:ind w:left="5760" w:hanging="360"/>
      </w:pPr>
      <w:rPr>
        <w:rFonts w:ascii="Courier New" w:hAnsi="Courier New" w:hint="default"/>
      </w:rPr>
    </w:lvl>
    <w:lvl w:ilvl="8" w:tplc="12349E20">
      <w:start w:val="1"/>
      <w:numFmt w:val="bullet"/>
      <w:lvlText w:val=""/>
      <w:lvlJc w:val="left"/>
      <w:pPr>
        <w:ind w:left="6480" w:hanging="360"/>
      </w:pPr>
      <w:rPr>
        <w:rFonts w:ascii="Wingdings" w:hAnsi="Wingdings" w:hint="default"/>
      </w:rPr>
    </w:lvl>
  </w:abstractNum>
  <w:abstractNum w:abstractNumId="2"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FE2C7AD"/>
    <w:multiLevelType w:val="hybridMultilevel"/>
    <w:tmpl w:val="86586F38"/>
    <w:lvl w:ilvl="0" w:tplc="1458E778">
      <w:start w:val="1"/>
      <w:numFmt w:val="bullet"/>
      <w:lvlText w:val=""/>
      <w:lvlJc w:val="left"/>
      <w:pPr>
        <w:ind w:left="720" w:hanging="360"/>
      </w:pPr>
      <w:rPr>
        <w:rFonts w:ascii="Symbol" w:hAnsi="Symbol" w:hint="default"/>
      </w:rPr>
    </w:lvl>
    <w:lvl w:ilvl="1" w:tplc="8640AC88">
      <w:start w:val="1"/>
      <w:numFmt w:val="bullet"/>
      <w:lvlText w:val="o"/>
      <w:lvlJc w:val="left"/>
      <w:pPr>
        <w:ind w:left="1440" w:hanging="360"/>
      </w:pPr>
      <w:rPr>
        <w:rFonts w:ascii="Courier New" w:hAnsi="Courier New" w:hint="default"/>
      </w:rPr>
    </w:lvl>
    <w:lvl w:ilvl="2" w:tplc="7048F42C">
      <w:start w:val="1"/>
      <w:numFmt w:val="bullet"/>
      <w:lvlText w:val=""/>
      <w:lvlJc w:val="left"/>
      <w:pPr>
        <w:ind w:left="2160" w:hanging="360"/>
      </w:pPr>
      <w:rPr>
        <w:rFonts w:ascii="Wingdings" w:hAnsi="Wingdings" w:hint="default"/>
      </w:rPr>
    </w:lvl>
    <w:lvl w:ilvl="3" w:tplc="C0004556">
      <w:start w:val="1"/>
      <w:numFmt w:val="bullet"/>
      <w:lvlText w:val=""/>
      <w:lvlJc w:val="left"/>
      <w:pPr>
        <w:ind w:left="2880" w:hanging="360"/>
      </w:pPr>
      <w:rPr>
        <w:rFonts w:ascii="Symbol" w:hAnsi="Symbol" w:hint="default"/>
      </w:rPr>
    </w:lvl>
    <w:lvl w:ilvl="4" w:tplc="45820BC4">
      <w:start w:val="1"/>
      <w:numFmt w:val="bullet"/>
      <w:lvlText w:val="o"/>
      <w:lvlJc w:val="left"/>
      <w:pPr>
        <w:ind w:left="3600" w:hanging="360"/>
      </w:pPr>
      <w:rPr>
        <w:rFonts w:ascii="Courier New" w:hAnsi="Courier New" w:hint="default"/>
      </w:rPr>
    </w:lvl>
    <w:lvl w:ilvl="5" w:tplc="AB521120">
      <w:start w:val="1"/>
      <w:numFmt w:val="bullet"/>
      <w:lvlText w:val=""/>
      <w:lvlJc w:val="left"/>
      <w:pPr>
        <w:ind w:left="4320" w:hanging="360"/>
      </w:pPr>
      <w:rPr>
        <w:rFonts w:ascii="Wingdings" w:hAnsi="Wingdings" w:hint="default"/>
      </w:rPr>
    </w:lvl>
    <w:lvl w:ilvl="6" w:tplc="5F825B9A">
      <w:start w:val="1"/>
      <w:numFmt w:val="bullet"/>
      <w:lvlText w:val=""/>
      <w:lvlJc w:val="left"/>
      <w:pPr>
        <w:ind w:left="5040" w:hanging="360"/>
      </w:pPr>
      <w:rPr>
        <w:rFonts w:ascii="Symbol" w:hAnsi="Symbol" w:hint="default"/>
      </w:rPr>
    </w:lvl>
    <w:lvl w:ilvl="7" w:tplc="91C82918">
      <w:start w:val="1"/>
      <w:numFmt w:val="bullet"/>
      <w:lvlText w:val="o"/>
      <w:lvlJc w:val="left"/>
      <w:pPr>
        <w:ind w:left="5760" w:hanging="360"/>
      </w:pPr>
      <w:rPr>
        <w:rFonts w:ascii="Courier New" w:hAnsi="Courier New" w:hint="default"/>
      </w:rPr>
    </w:lvl>
    <w:lvl w:ilvl="8" w:tplc="DF8ECD80">
      <w:start w:val="1"/>
      <w:numFmt w:val="bullet"/>
      <w:lvlText w:val=""/>
      <w:lvlJc w:val="left"/>
      <w:pPr>
        <w:ind w:left="6480" w:hanging="360"/>
      </w:pPr>
      <w:rPr>
        <w:rFonts w:ascii="Wingdings" w:hAnsi="Wingdings" w:hint="default"/>
      </w:rPr>
    </w:lvl>
  </w:abstractNum>
  <w:abstractNum w:abstractNumId="4"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71D52FE"/>
    <w:multiLevelType w:val="hybridMultilevel"/>
    <w:tmpl w:val="2EAC0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673803050">
    <w:abstractNumId w:val="6"/>
  </w:num>
  <w:num w:numId="2" w16cid:durableId="1834292514">
    <w:abstractNumId w:val="8"/>
  </w:num>
  <w:num w:numId="3" w16cid:durableId="385109804">
    <w:abstractNumId w:val="0"/>
  </w:num>
  <w:num w:numId="4" w16cid:durableId="1662584655">
    <w:abstractNumId w:val="2"/>
  </w:num>
  <w:num w:numId="5" w16cid:durableId="852231713">
    <w:abstractNumId w:val="5"/>
  </w:num>
  <w:num w:numId="6" w16cid:durableId="1900700070">
    <w:abstractNumId w:val="5"/>
  </w:num>
  <w:num w:numId="7" w16cid:durableId="1146094812">
    <w:abstractNumId w:val="4"/>
  </w:num>
  <w:num w:numId="8" w16cid:durableId="623121877">
    <w:abstractNumId w:val="1"/>
  </w:num>
  <w:num w:numId="9" w16cid:durableId="535971363">
    <w:abstractNumId w:val="7"/>
  </w:num>
  <w:num w:numId="10" w16cid:durableId="350686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19"/>
    <w:rsid w:val="000103F7"/>
    <w:rsid w:val="0002350E"/>
    <w:rsid w:val="000502F0"/>
    <w:rsid w:val="00076C16"/>
    <w:rsid w:val="00097848"/>
    <w:rsid w:val="000A0A25"/>
    <w:rsid w:val="000A52ED"/>
    <w:rsid w:val="00140340"/>
    <w:rsid w:val="0014041B"/>
    <w:rsid w:val="00164D61"/>
    <w:rsid w:val="001D05E5"/>
    <w:rsid w:val="001E7223"/>
    <w:rsid w:val="001F3E19"/>
    <w:rsid w:val="00203A79"/>
    <w:rsid w:val="00207301"/>
    <w:rsid w:val="00207D15"/>
    <w:rsid w:val="002216AF"/>
    <w:rsid w:val="00276CFC"/>
    <w:rsid w:val="0029000F"/>
    <w:rsid w:val="0029184D"/>
    <w:rsid w:val="002B4BCA"/>
    <w:rsid w:val="002C4618"/>
    <w:rsid w:val="002D1948"/>
    <w:rsid w:val="002D6A49"/>
    <w:rsid w:val="002E258E"/>
    <w:rsid w:val="00316C57"/>
    <w:rsid w:val="00371A8A"/>
    <w:rsid w:val="0037527E"/>
    <w:rsid w:val="003A498C"/>
    <w:rsid w:val="003D7340"/>
    <w:rsid w:val="003E02AD"/>
    <w:rsid w:val="003E2946"/>
    <w:rsid w:val="00442948"/>
    <w:rsid w:val="00450B27"/>
    <w:rsid w:val="004803F4"/>
    <w:rsid w:val="004C1221"/>
    <w:rsid w:val="004F5B14"/>
    <w:rsid w:val="004F7580"/>
    <w:rsid w:val="004F7D4E"/>
    <w:rsid w:val="00501A29"/>
    <w:rsid w:val="00520B85"/>
    <w:rsid w:val="00522694"/>
    <w:rsid w:val="00524CD9"/>
    <w:rsid w:val="00591CBF"/>
    <w:rsid w:val="005D0605"/>
    <w:rsid w:val="005F7BD6"/>
    <w:rsid w:val="006125D6"/>
    <w:rsid w:val="00633EBE"/>
    <w:rsid w:val="006677E6"/>
    <w:rsid w:val="006725D6"/>
    <w:rsid w:val="006823BD"/>
    <w:rsid w:val="006905AC"/>
    <w:rsid w:val="006A39A6"/>
    <w:rsid w:val="006B1DCB"/>
    <w:rsid w:val="006B56B1"/>
    <w:rsid w:val="006B76F8"/>
    <w:rsid w:val="006C54D8"/>
    <w:rsid w:val="006C7894"/>
    <w:rsid w:val="006D01D7"/>
    <w:rsid w:val="006F46CD"/>
    <w:rsid w:val="00727B13"/>
    <w:rsid w:val="007334D7"/>
    <w:rsid w:val="007670EA"/>
    <w:rsid w:val="00781A97"/>
    <w:rsid w:val="00793106"/>
    <w:rsid w:val="007C3E0F"/>
    <w:rsid w:val="007F6352"/>
    <w:rsid w:val="008062FB"/>
    <w:rsid w:val="00816F21"/>
    <w:rsid w:val="00843834"/>
    <w:rsid w:val="00852451"/>
    <w:rsid w:val="008945E0"/>
    <w:rsid w:val="008B1943"/>
    <w:rsid w:val="008C2E19"/>
    <w:rsid w:val="009001F4"/>
    <w:rsid w:val="00954D81"/>
    <w:rsid w:val="009B17A2"/>
    <w:rsid w:val="009C577C"/>
    <w:rsid w:val="009C72C6"/>
    <w:rsid w:val="00A717DD"/>
    <w:rsid w:val="00A738C7"/>
    <w:rsid w:val="00A775EA"/>
    <w:rsid w:val="00A831C3"/>
    <w:rsid w:val="00AB11BE"/>
    <w:rsid w:val="00AB48A9"/>
    <w:rsid w:val="00B11E2C"/>
    <w:rsid w:val="00B130E3"/>
    <w:rsid w:val="00B25946"/>
    <w:rsid w:val="00B41ACF"/>
    <w:rsid w:val="00B53498"/>
    <w:rsid w:val="00B67A8F"/>
    <w:rsid w:val="00B8348C"/>
    <w:rsid w:val="00BA0AEF"/>
    <w:rsid w:val="00BA128A"/>
    <w:rsid w:val="00BE21E2"/>
    <w:rsid w:val="00C11566"/>
    <w:rsid w:val="00C31C6B"/>
    <w:rsid w:val="00C33EF1"/>
    <w:rsid w:val="00C436F1"/>
    <w:rsid w:val="00C8347D"/>
    <w:rsid w:val="00CC4872"/>
    <w:rsid w:val="00CE69D1"/>
    <w:rsid w:val="00D157AF"/>
    <w:rsid w:val="00D410EA"/>
    <w:rsid w:val="00D778E2"/>
    <w:rsid w:val="00D87EB6"/>
    <w:rsid w:val="00D91251"/>
    <w:rsid w:val="00D972D6"/>
    <w:rsid w:val="00DE1C36"/>
    <w:rsid w:val="00DF0A76"/>
    <w:rsid w:val="00E11CC8"/>
    <w:rsid w:val="00E36265"/>
    <w:rsid w:val="00EC7BDD"/>
    <w:rsid w:val="00ED7575"/>
    <w:rsid w:val="00EE1D8B"/>
    <w:rsid w:val="00EF3512"/>
    <w:rsid w:val="00F16E2F"/>
    <w:rsid w:val="00F26A50"/>
    <w:rsid w:val="00F27045"/>
    <w:rsid w:val="00F61DAC"/>
    <w:rsid w:val="00F84234"/>
    <w:rsid w:val="00F84CA9"/>
    <w:rsid w:val="00FD1D20"/>
    <w:rsid w:val="00FF5E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2E55B0B7"/>
  <w15:docId w15:val="{07F9730F-688E-4FB7-ACAD-02F69064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3BD"/>
  </w:style>
  <w:style w:type="paragraph" w:styleId="Heading1">
    <w:name w:val="heading 1"/>
    <w:basedOn w:val="Normal"/>
    <w:next w:val="Normal"/>
    <w:link w:val="Heading1Char"/>
    <w:uiPriority w:val="9"/>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uiPriority w:val="9"/>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paragraph" w:styleId="Heading4">
    <w:name w:val="heading 4"/>
    <w:basedOn w:val="Normal"/>
    <w:next w:val="Normal"/>
    <w:link w:val="Heading4Char"/>
    <w:uiPriority w:val="9"/>
    <w:unhideWhenUsed/>
    <w:qFormat/>
    <w:rsid w:val="00501A29"/>
    <w:pPr>
      <w:keepNext/>
      <w:keepLines/>
      <w:spacing w:before="60" w:after="120" w:line="259" w:lineRule="auto"/>
      <w:ind w:left="864" w:hanging="864"/>
      <w:jc w:val="both"/>
      <w:outlineLvl w:val="3"/>
    </w:pPr>
    <w:rPr>
      <w:rFonts w:eastAsiaTheme="majorEastAsia" w:cstheme="majorBidi"/>
      <w:b/>
      <w:i/>
      <w:iCs/>
      <w:color w:val="0D0D0D" w:themeColor="text1" w:themeTint="F2"/>
      <w:szCs w:val="22"/>
      <w:lang w:eastAsia="en-US"/>
    </w:rPr>
  </w:style>
  <w:style w:type="paragraph" w:styleId="Heading5">
    <w:name w:val="heading 5"/>
    <w:basedOn w:val="Normal"/>
    <w:next w:val="Normal"/>
    <w:link w:val="Heading5Char"/>
    <w:uiPriority w:val="9"/>
    <w:semiHidden/>
    <w:unhideWhenUsed/>
    <w:qFormat/>
    <w:rsid w:val="00501A29"/>
    <w:pPr>
      <w:keepNext/>
      <w:keepLines/>
      <w:spacing w:before="40" w:line="259" w:lineRule="auto"/>
      <w:ind w:left="1008" w:hanging="1008"/>
      <w:jc w:val="both"/>
      <w:outlineLvl w:val="4"/>
    </w:pPr>
    <w:rPr>
      <w:rFonts w:asciiTheme="majorHAnsi" w:eastAsiaTheme="majorEastAsia" w:hAnsiTheme="majorHAnsi" w:cstheme="majorBidi"/>
      <w:color w:val="2E74B5" w:themeColor="accent1" w:themeShade="BF"/>
      <w:szCs w:val="22"/>
      <w:lang w:eastAsia="en-US"/>
    </w:rPr>
  </w:style>
  <w:style w:type="paragraph" w:styleId="Heading6">
    <w:name w:val="heading 6"/>
    <w:basedOn w:val="Normal"/>
    <w:next w:val="Normal"/>
    <w:link w:val="Heading6Char"/>
    <w:uiPriority w:val="9"/>
    <w:semiHidden/>
    <w:unhideWhenUsed/>
    <w:qFormat/>
    <w:rsid w:val="00501A29"/>
    <w:pPr>
      <w:keepNext/>
      <w:keepLines/>
      <w:spacing w:before="40" w:line="259" w:lineRule="auto"/>
      <w:ind w:left="1152" w:hanging="1152"/>
      <w:jc w:val="both"/>
      <w:outlineLvl w:val="5"/>
    </w:pPr>
    <w:rPr>
      <w:rFonts w:asciiTheme="majorHAnsi" w:eastAsiaTheme="majorEastAsia" w:hAnsiTheme="majorHAnsi" w:cstheme="majorBidi"/>
      <w:color w:val="1F4D78" w:themeColor="accent1" w:themeShade="7F"/>
      <w:szCs w:val="22"/>
      <w:lang w:eastAsia="en-US"/>
    </w:rPr>
  </w:style>
  <w:style w:type="paragraph" w:styleId="Heading7">
    <w:name w:val="heading 7"/>
    <w:basedOn w:val="Normal"/>
    <w:next w:val="Normal"/>
    <w:link w:val="Heading7Char"/>
    <w:uiPriority w:val="9"/>
    <w:semiHidden/>
    <w:unhideWhenUsed/>
    <w:qFormat/>
    <w:rsid w:val="00501A29"/>
    <w:pPr>
      <w:keepNext/>
      <w:keepLines/>
      <w:spacing w:before="40" w:line="259" w:lineRule="auto"/>
      <w:ind w:left="1296" w:hanging="1296"/>
      <w:jc w:val="both"/>
      <w:outlineLvl w:val="6"/>
    </w:pPr>
    <w:rPr>
      <w:rFonts w:asciiTheme="majorHAnsi" w:eastAsiaTheme="majorEastAsia" w:hAnsiTheme="majorHAnsi" w:cstheme="majorBidi"/>
      <w:i/>
      <w:iCs/>
      <w:color w:val="1F4D78" w:themeColor="accent1" w:themeShade="7F"/>
      <w:szCs w:val="22"/>
      <w:lang w:eastAsia="en-US"/>
    </w:rPr>
  </w:style>
  <w:style w:type="paragraph" w:styleId="Heading8">
    <w:name w:val="heading 8"/>
    <w:basedOn w:val="Normal"/>
    <w:next w:val="Normal"/>
    <w:link w:val="Heading8Char"/>
    <w:uiPriority w:val="9"/>
    <w:semiHidden/>
    <w:unhideWhenUsed/>
    <w:qFormat/>
    <w:rsid w:val="00501A29"/>
    <w:pPr>
      <w:keepNext/>
      <w:keepLines/>
      <w:spacing w:before="40" w:line="259" w:lineRule="auto"/>
      <w:ind w:left="1440" w:hanging="1440"/>
      <w:jc w:val="both"/>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501A29"/>
    <w:pPr>
      <w:keepNext/>
      <w:keepLines/>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9C72C6"/>
  </w:style>
  <w:style w:type="character" w:styleId="PageNumber">
    <w:name w:val="page number"/>
    <w:basedOn w:val="DefaultParagraphFont"/>
  </w:style>
  <w:style w:type="paragraph" w:customStyle="1" w:styleId="Dokumendinimetus">
    <w:name w:val="Dokumendi nimetus"/>
    <w:basedOn w:val="Pea"/>
    <w:next w:val="BodyText"/>
    <w:qFormat/>
    <w:rsid w:val="00A831C3"/>
    <w:pPr>
      <w:spacing w:before="920"/>
      <w:ind w:left="0" w:right="4706"/>
      <w:jc w:val="left"/>
    </w:pPr>
    <w:rPr>
      <w:caps/>
    </w:rPr>
  </w:style>
  <w:style w:type="paragraph" w:customStyle="1" w:styleId="Pea">
    <w:name w:val="Pea"/>
    <w:basedOn w:val="BodyText"/>
    <w:pPr>
      <w:ind w:left="-1134"/>
      <w:jc w:val="center"/>
    </w:pPr>
    <w:rPr>
      <w:sz w:val="28"/>
    </w:rPr>
  </w:style>
  <w:style w:type="paragraph" w:customStyle="1" w:styleId="Loetelu">
    <w:name w:val="Loetelu"/>
    <w:basedOn w:val="BodyText"/>
    <w:rsid w:val="00203A79"/>
    <w:pPr>
      <w:numPr>
        <w:numId w:val="6"/>
      </w:numPr>
      <w:spacing w:before="120"/>
    </w:pPr>
  </w:style>
  <w:style w:type="paragraph" w:customStyle="1" w:styleId="Bodyt">
    <w:name w:val="Bodyt"/>
    <w:basedOn w:val="Normal"/>
    <w:rsid w:val="00203A79"/>
    <w:pPr>
      <w:numPr>
        <w:ilvl w:val="1"/>
        <w:numId w:val="6"/>
      </w:numPr>
    </w:pPr>
  </w:style>
  <w:style w:type="paragraph" w:customStyle="1" w:styleId="Tallinn">
    <w:name w:val="Tallinn"/>
    <w:basedOn w:val="BodyText"/>
    <w:next w:val="BodyText"/>
    <w:qFormat/>
    <w:rsid w:val="00A831C3"/>
    <w:pPr>
      <w:spacing w:before="120" w:after="920"/>
    </w:pPr>
  </w:style>
  <w:style w:type="paragraph" w:customStyle="1" w:styleId="Pealkiri1">
    <w:name w:val="Pealkiri1"/>
    <w:basedOn w:val="BodyText"/>
    <w:next w:val="BodyText"/>
    <w:qFormat/>
    <w:rsid w:val="003A498C"/>
    <w:pPr>
      <w:spacing w:after="480"/>
      <w:ind w:right="5103"/>
    </w:pPr>
  </w:style>
  <w:style w:type="paragraph" w:customStyle="1" w:styleId="Allkirjastajanimi">
    <w:name w:val="Allkirjastaja nimi"/>
    <w:basedOn w:val="BodyText"/>
    <w:next w:val="BodyText"/>
    <w:qFormat/>
    <w:rsid w:val="00BE21E2"/>
  </w:style>
  <w:style w:type="paragraph" w:customStyle="1" w:styleId="Allkirjastatuddigit">
    <w:name w:val="Allkirjastatud digit"/>
    <w:basedOn w:val="BodyText"/>
    <w:qFormat/>
    <w:rsid w:val="00B130E3"/>
    <w:pPr>
      <w:spacing w:before="480" w:after="120"/>
    </w:pPr>
  </w:style>
  <w:style w:type="paragraph" w:customStyle="1" w:styleId="Lisatekst">
    <w:name w:val="Lisatekst"/>
    <w:basedOn w:val="BodyText"/>
    <w:rsid w:val="00B130E3"/>
    <w:pPr>
      <w:numPr>
        <w:numId w:val="7"/>
      </w:numPr>
      <w:tabs>
        <w:tab w:val="left" w:pos="6521"/>
      </w:tabs>
      <w:spacing w:before="120"/>
    </w:pPr>
  </w:style>
  <w:style w:type="paragraph" w:customStyle="1" w:styleId="Body">
    <w:name w:val="Body"/>
    <w:basedOn w:val="BodyText"/>
    <w:rsid w:val="00B130E3"/>
    <w:pPr>
      <w:tabs>
        <w:tab w:val="left" w:pos="6521"/>
      </w:tabs>
    </w:pPr>
  </w:style>
  <w:style w:type="paragraph" w:customStyle="1" w:styleId="Lisapealkiri">
    <w:name w:val="Lisapealkiri"/>
    <w:basedOn w:val="BodyText"/>
    <w:next w:val="BodyText"/>
    <w:qFormat/>
    <w:rsid w:val="00B130E3"/>
    <w:pPr>
      <w:tabs>
        <w:tab w:val="left" w:pos="6521"/>
      </w:tabs>
      <w:spacing w:before="280" w:after="280"/>
    </w:pPr>
    <w:rPr>
      <w:b/>
    </w:rPr>
  </w:style>
  <w:style w:type="paragraph" w:customStyle="1" w:styleId="BodyTextees">
    <w:name w:val="Body Text ees"/>
    <w:basedOn w:val="BodyText"/>
    <w:qFormat/>
    <w:rsid w:val="00B130E3"/>
    <w:pPr>
      <w:tabs>
        <w:tab w:val="left" w:pos="6521"/>
      </w:tabs>
      <w:spacing w:before="120"/>
    </w:pPr>
  </w:style>
  <w:style w:type="paragraph" w:customStyle="1" w:styleId="LisaBodyt">
    <w:name w:val="LisaBodyt"/>
    <w:basedOn w:val="Bodyt"/>
    <w:qFormat/>
    <w:rsid w:val="00BA128A"/>
    <w:pPr>
      <w:numPr>
        <w:numId w:val="7"/>
      </w:numPr>
      <w:spacing w:before="40"/>
    </w:pPr>
  </w:style>
  <w:style w:type="paragraph" w:customStyle="1" w:styleId="LisaBodyt2">
    <w:name w:val="LisaBodyt2"/>
    <w:basedOn w:val="LisaBodyt"/>
    <w:qFormat/>
    <w:rsid w:val="00BA128A"/>
    <w:pPr>
      <w:numPr>
        <w:ilvl w:val="2"/>
      </w:numPr>
      <w:spacing w:before="0"/>
    </w:pPr>
  </w:style>
  <w:style w:type="character" w:customStyle="1" w:styleId="HeaderChar">
    <w:name w:val="Header Char"/>
    <w:basedOn w:val="DefaultParagraphFont"/>
    <w:link w:val="Header"/>
    <w:uiPriority w:val="99"/>
    <w:rsid w:val="006A39A6"/>
    <w:rPr>
      <w:sz w:val="24"/>
      <w:lang w:eastAsia="en-US"/>
    </w:rPr>
  </w:style>
  <w:style w:type="paragraph" w:styleId="BalloonText">
    <w:name w:val="Balloon Text"/>
    <w:basedOn w:val="Normal"/>
    <w:link w:val="BalloonTextChar"/>
    <w:semiHidden/>
    <w:unhideWhenUsed/>
    <w:rsid w:val="00591CBF"/>
    <w:rPr>
      <w:rFonts w:ascii="Segoe UI" w:hAnsi="Segoe UI" w:cs="Segoe UI"/>
      <w:sz w:val="18"/>
      <w:szCs w:val="18"/>
    </w:rPr>
  </w:style>
  <w:style w:type="character" w:customStyle="1" w:styleId="BalloonTextChar">
    <w:name w:val="Balloon Text Char"/>
    <w:basedOn w:val="DefaultParagraphFont"/>
    <w:link w:val="BalloonText"/>
    <w:semiHidden/>
    <w:rsid w:val="00591CBF"/>
    <w:rPr>
      <w:rFonts w:ascii="Segoe UI" w:hAnsi="Segoe UI" w:cs="Segoe UI"/>
      <w:sz w:val="18"/>
      <w:szCs w:val="18"/>
    </w:rPr>
  </w:style>
  <w:style w:type="paragraph" w:styleId="Title">
    <w:name w:val="Title"/>
    <w:basedOn w:val="Normal"/>
    <w:next w:val="Normal"/>
    <w:link w:val="TitleChar"/>
    <w:uiPriority w:val="10"/>
    <w:qFormat/>
    <w:rsid w:val="00501A29"/>
    <w:pPr>
      <w:contextualSpacing/>
      <w:jc w:val="both"/>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501A29"/>
    <w:rPr>
      <w:rFonts w:asciiTheme="majorHAnsi" w:eastAsiaTheme="majorEastAsia" w:hAnsiTheme="majorHAnsi" w:cstheme="majorBidi"/>
      <w:spacing w:val="-10"/>
      <w:kern w:val="28"/>
      <w:sz w:val="56"/>
      <w:szCs w:val="56"/>
      <w:lang w:eastAsia="en-US"/>
    </w:rPr>
  </w:style>
  <w:style w:type="character" w:customStyle="1" w:styleId="Heading4Char">
    <w:name w:val="Heading 4 Char"/>
    <w:basedOn w:val="DefaultParagraphFont"/>
    <w:link w:val="Heading4"/>
    <w:uiPriority w:val="9"/>
    <w:rsid w:val="00501A29"/>
    <w:rPr>
      <w:rFonts w:eastAsiaTheme="majorEastAsia" w:cstheme="majorBidi"/>
      <w:b/>
      <w:i/>
      <w:iCs/>
      <w:color w:val="0D0D0D" w:themeColor="text1" w:themeTint="F2"/>
      <w:szCs w:val="22"/>
      <w:lang w:eastAsia="en-US"/>
    </w:rPr>
  </w:style>
  <w:style w:type="character" w:customStyle="1" w:styleId="Heading5Char">
    <w:name w:val="Heading 5 Char"/>
    <w:basedOn w:val="DefaultParagraphFont"/>
    <w:link w:val="Heading5"/>
    <w:uiPriority w:val="9"/>
    <w:semiHidden/>
    <w:rsid w:val="00501A29"/>
    <w:rPr>
      <w:rFonts w:asciiTheme="majorHAnsi" w:eastAsiaTheme="majorEastAsia" w:hAnsiTheme="majorHAnsi" w:cstheme="majorBidi"/>
      <w:color w:val="2E74B5" w:themeColor="accent1" w:themeShade="BF"/>
      <w:szCs w:val="22"/>
      <w:lang w:eastAsia="en-US"/>
    </w:rPr>
  </w:style>
  <w:style w:type="character" w:customStyle="1" w:styleId="Heading6Char">
    <w:name w:val="Heading 6 Char"/>
    <w:basedOn w:val="DefaultParagraphFont"/>
    <w:link w:val="Heading6"/>
    <w:uiPriority w:val="9"/>
    <w:semiHidden/>
    <w:rsid w:val="00501A29"/>
    <w:rPr>
      <w:rFonts w:asciiTheme="majorHAnsi" w:eastAsiaTheme="majorEastAsia" w:hAnsiTheme="majorHAnsi" w:cstheme="majorBidi"/>
      <w:color w:val="1F4D78" w:themeColor="accent1" w:themeShade="7F"/>
      <w:szCs w:val="22"/>
      <w:lang w:eastAsia="en-US"/>
    </w:rPr>
  </w:style>
  <w:style w:type="character" w:customStyle="1" w:styleId="Heading7Char">
    <w:name w:val="Heading 7 Char"/>
    <w:basedOn w:val="DefaultParagraphFont"/>
    <w:link w:val="Heading7"/>
    <w:uiPriority w:val="9"/>
    <w:semiHidden/>
    <w:rsid w:val="00501A29"/>
    <w:rPr>
      <w:rFonts w:asciiTheme="majorHAnsi" w:eastAsiaTheme="majorEastAsia" w:hAnsiTheme="majorHAnsi" w:cstheme="majorBidi"/>
      <w:i/>
      <w:iCs/>
      <w:color w:val="1F4D78" w:themeColor="accent1" w:themeShade="7F"/>
      <w:szCs w:val="22"/>
      <w:lang w:eastAsia="en-US"/>
    </w:rPr>
  </w:style>
  <w:style w:type="character" w:customStyle="1" w:styleId="Heading8Char">
    <w:name w:val="Heading 8 Char"/>
    <w:basedOn w:val="DefaultParagraphFont"/>
    <w:link w:val="Heading8"/>
    <w:uiPriority w:val="9"/>
    <w:semiHidden/>
    <w:rsid w:val="00501A2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01A29"/>
    <w:rPr>
      <w:rFonts w:asciiTheme="majorHAnsi" w:eastAsiaTheme="majorEastAsia" w:hAnsiTheme="majorHAnsi" w:cstheme="majorBidi"/>
      <w:i/>
      <w:iCs/>
      <w:color w:val="272727" w:themeColor="text1" w:themeTint="D8"/>
      <w:sz w:val="21"/>
      <w:szCs w:val="21"/>
      <w:lang w:eastAsia="en-US"/>
    </w:rPr>
  </w:style>
  <w:style w:type="character" w:customStyle="1" w:styleId="Heading1Char">
    <w:name w:val="Heading 1 Char"/>
    <w:basedOn w:val="DefaultParagraphFont"/>
    <w:link w:val="Heading1"/>
    <w:uiPriority w:val="9"/>
    <w:rsid w:val="00501A29"/>
    <w:rPr>
      <w:rFonts w:ascii="Arial" w:hAnsi="Arial" w:cs="Arial"/>
      <w:b/>
      <w:bCs/>
      <w:kern w:val="32"/>
      <w:sz w:val="32"/>
      <w:szCs w:val="32"/>
    </w:rPr>
  </w:style>
  <w:style w:type="paragraph" w:styleId="ListParagraph">
    <w:name w:val="List Paragraph"/>
    <w:basedOn w:val="Normal"/>
    <w:uiPriority w:val="34"/>
    <w:qFormat/>
    <w:rsid w:val="00501A29"/>
    <w:pPr>
      <w:spacing w:after="120" w:line="259" w:lineRule="auto"/>
      <w:ind w:left="720"/>
      <w:contextualSpacing/>
      <w:jc w:val="both"/>
    </w:pPr>
    <w:rPr>
      <w:rFonts w:asciiTheme="minorHAnsi" w:eastAsiaTheme="minorHAnsi" w:hAnsiTheme="minorHAnsi" w:cstheme="minorBidi"/>
      <w:szCs w:val="22"/>
      <w:lang w:eastAsia="en-US"/>
    </w:rPr>
  </w:style>
  <w:style w:type="paragraph" w:styleId="Caption">
    <w:name w:val="caption"/>
    <w:basedOn w:val="Normal"/>
    <w:next w:val="Normal"/>
    <w:unhideWhenUsed/>
    <w:qFormat/>
    <w:rsid w:val="00501A29"/>
    <w:pPr>
      <w:spacing w:after="200"/>
      <w:jc w:val="both"/>
    </w:pPr>
    <w:rPr>
      <w:rFonts w:asciiTheme="minorHAnsi" w:eastAsiaTheme="minorHAnsi" w:hAnsiTheme="minorHAnsi" w:cstheme="minorBidi"/>
      <w:i/>
      <w:iCs/>
      <w:color w:val="44546A" w:themeColor="text2"/>
      <w:sz w:val="18"/>
      <w:szCs w:val="18"/>
      <w:lang w:eastAsia="en-US"/>
    </w:rPr>
  </w:style>
  <w:style w:type="paragraph" w:styleId="TOCHeading">
    <w:name w:val="TOC Heading"/>
    <w:basedOn w:val="Heading1"/>
    <w:next w:val="Normal"/>
    <w:uiPriority w:val="39"/>
    <w:unhideWhenUsed/>
    <w:qFormat/>
    <w:rsid w:val="00501A29"/>
    <w:pPr>
      <w:keepLines/>
      <w:numPr>
        <w:numId w:val="0"/>
      </w:numPr>
      <w:spacing w:before="60" w:after="120"/>
      <w:outlineLvl w:val="9"/>
    </w:pPr>
    <w:rPr>
      <w:rFonts w:ascii="Calibri" w:eastAsiaTheme="majorEastAsia" w:hAnsi="Calibri" w:cstheme="majorBidi"/>
      <w:bCs w:val="0"/>
      <w:color w:val="0D0D0D" w:themeColor="text1" w:themeTint="F2"/>
      <w:kern w:val="0"/>
      <w:sz w:val="28"/>
    </w:rPr>
  </w:style>
  <w:style w:type="paragraph" w:styleId="TOC1">
    <w:name w:val="toc 1"/>
    <w:basedOn w:val="Normal"/>
    <w:next w:val="Normal"/>
    <w:autoRedefine/>
    <w:uiPriority w:val="39"/>
    <w:unhideWhenUsed/>
    <w:rsid w:val="00501A29"/>
    <w:pPr>
      <w:tabs>
        <w:tab w:val="left" w:pos="440"/>
        <w:tab w:val="right" w:leader="dot" w:pos="9062"/>
      </w:tabs>
      <w:spacing w:after="100" w:line="259" w:lineRule="auto"/>
      <w:jc w:val="both"/>
    </w:pPr>
    <w:rPr>
      <w:rFonts w:asciiTheme="minorHAnsi" w:eastAsiaTheme="minorHAnsi" w:hAnsiTheme="minorHAnsi" w:cstheme="minorBidi"/>
      <w:szCs w:val="22"/>
      <w:lang w:eastAsia="en-US"/>
    </w:rPr>
  </w:style>
  <w:style w:type="character" w:styleId="Hyperlink">
    <w:name w:val="Hyperlink"/>
    <w:basedOn w:val="DefaultParagraphFont"/>
    <w:uiPriority w:val="99"/>
    <w:unhideWhenUsed/>
    <w:rsid w:val="00501A29"/>
    <w:rPr>
      <w:color w:val="0563C1" w:themeColor="hyperlink"/>
      <w:u w:val="single"/>
    </w:rPr>
  </w:style>
  <w:style w:type="character" w:customStyle="1" w:styleId="normaltextrun">
    <w:name w:val="normaltextrun"/>
    <w:basedOn w:val="DefaultParagraphFont"/>
    <w:rsid w:val="00501A29"/>
  </w:style>
  <w:style w:type="character" w:customStyle="1" w:styleId="eop">
    <w:name w:val="eop"/>
    <w:basedOn w:val="DefaultParagraphFont"/>
    <w:rsid w:val="00501A29"/>
  </w:style>
  <w:style w:type="table" w:styleId="TableGrid">
    <w:name w:val="Table Grid"/>
    <w:basedOn w:val="TableNormal"/>
    <w:uiPriority w:val="39"/>
    <w:rsid w:val="00501A29"/>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ri.schutz\Downloads\korraldus_kinnitatud_lisaga_delta%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3C698-7B50-4403-803A-08D7CE76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korraldus_kinnitatud_lisaga_delta (3)</Template>
  <TotalTime>11</TotalTime>
  <Pages>3</Pages>
  <Words>641</Words>
  <Characters>6013</Characters>
  <Application>Microsoft Office Word</Application>
  <DocSecurity>0</DocSecurity>
  <Lines>50</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Tallinna Tehnikaülikool</vt:lpstr>
      <vt:lpstr>Tallinna Tehnikaülikool</vt:lpstr>
    </vt:vector>
  </TitlesOfParts>
  <Company>TTY  Informaatikainstituut</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Inkeri Treial</dc:creator>
  <cp:keywords/>
  <dc:description/>
  <cp:lastModifiedBy>Kairi Schütz</cp:lastModifiedBy>
  <cp:revision>3</cp:revision>
  <cp:lastPrinted>2018-10-02T09:59:00Z</cp:lastPrinted>
  <dcterms:created xsi:type="dcterms:W3CDTF">2024-06-04T06:34:00Z</dcterms:created>
  <dcterms:modified xsi:type="dcterms:W3CDTF">2024-06-04T06:45:00Z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ies>
</file>