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page" w:tblpX="4951" w:tblpY="481"/>
        <w:tblW w:w="0" w:type="auto"/>
        <w:tblLayout w:type="fixed"/>
        <w:tblCellMar>
          <w:left w:w="70" w:type="dxa"/>
          <w:right w:w="70" w:type="dxa"/>
        </w:tblCellMar>
        <w:tblLook w:val="0000" w:firstRow="0" w:lastRow="0" w:firstColumn="0" w:lastColumn="0" w:noHBand="0" w:noVBand="0"/>
      </w:tblPr>
      <w:tblGrid>
        <w:gridCol w:w="5388"/>
      </w:tblGrid>
      <w:tr w:rsidR="007F06C6" w14:paraId="769A3A91" w14:textId="77777777" w:rsidTr="007F06C6">
        <w:trPr>
          <w:trHeight w:val="1215"/>
        </w:trPr>
        <w:tc>
          <w:tcPr>
            <w:tcW w:w="5388" w:type="dxa"/>
          </w:tcPr>
          <w:p w14:paraId="35551533" w14:textId="75BB32B7" w:rsidR="00E32DDF" w:rsidRPr="003B3D76" w:rsidRDefault="00E32DDF" w:rsidP="00E32DDF">
            <w:pPr>
              <w:rPr>
                <w:szCs w:val="22"/>
              </w:rPr>
            </w:pPr>
          </w:p>
          <w:p w14:paraId="5CE920C0" w14:textId="65439086" w:rsidR="007F06C6" w:rsidRPr="003B3D76" w:rsidRDefault="007F06C6" w:rsidP="007F06C6">
            <w:pPr>
              <w:rPr>
                <w:szCs w:val="22"/>
              </w:rPr>
            </w:pPr>
          </w:p>
        </w:tc>
      </w:tr>
    </w:tbl>
    <w:p w14:paraId="15C5BE32" w14:textId="77777777" w:rsidR="00A717DD" w:rsidRPr="00811EFA" w:rsidRDefault="00786714">
      <w:pPr>
        <w:rPr>
          <w:szCs w:val="22"/>
        </w:rPr>
        <w:sectPr w:rsidR="00A717DD" w:rsidRPr="00811EFA" w:rsidSect="00786714">
          <w:headerReference w:type="even" r:id="rId8"/>
          <w:headerReference w:type="default" r:id="rId9"/>
          <w:footerReference w:type="even" r:id="rId10"/>
          <w:type w:val="continuous"/>
          <w:pgSz w:w="11906" w:h="16838" w:code="9"/>
          <w:pgMar w:top="2410" w:right="851" w:bottom="680" w:left="1701" w:header="454" w:footer="510" w:gutter="0"/>
          <w:cols w:space="708"/>
          <w:titlePg/>
        </w:sectPr>
      </w:pPr>
      <w:r>
        <w:rPr>
          <w:noProof/>
        </w:rPr>
        <w:drawing>
          <wp:anchor distT="0" distB="0" distL="114300" distR="114300" simplePos="0" relativeHeight="251660288" behindDoc="1" locked="1" layoutInCell="1" allowOverlap="1" wp14:anchorId="27565A42" wp14:editId="36D159F0">
            <wp:simplePos x="0" y="0"/>
            <wp:positionH relativeFrom="column">
              <wp:posOffset>5873115</wp:posOffset>
            </wp:positionH>
            <wp:positionV relativeFrom="page">
              <wp:posOffset>428625</wp:posOffset>
            </wp:positionV>
            <wp:extent cx="100330" cy="1540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linna tehnikaulik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30" cy="1540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1" layoutInCell="1" allowOverlap="1" wp14:anchorId="18741C5D" wp14:editId="3970DCE6">
            <wp:simplePos x="0" y="0"/>
            <wp:positionH relativeFrom="column">
              <wp:posOffset>-3810</wp:posOffset>
            </wp:positionH>
            <wp:positionV relativeFrom="page">
              <wp:posOffset>428625</wp:posOffset>
            </wp:positionV>
            <wp:extent cx="1683385" cy="9544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ett_EMERA_riba_ES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3385" cy="954405"/>
                    </a:xfrm>
                    <a:prstGeom prst="rect">
                      <a:avLst/>
                    </a:prstGeom>
                  </pic:spPr>
                </pic:pic>
              </a:graphicData>
            </a:graphic>
            <wp14:sizeRelH relativeFrom="margin">
              <wp14:pctWidth>0</wp14:pctWidth>
            </wp14:sizeRelH>
            <wp14:sizeRelV relativeFrom="margin">
              <wp14:pctHeight>0</wp14:pctHeight>
            </wp14:sizeRelV>
          </wp:anchor>
        </w:drawing>
      </w:r>
    </w:p>
    <w:p w14:paraId="5E1E3ED5" w14:textId="77777777" w:rsidR="00C436F1" w:rsidRPr="00811EFA" w:rsidRDefault="008E1F3D" w:rsidP="00786714">
      <w:pPr>
        <w:pStyle w:val="Dokumendinimetus"/>
        <w:spacing w:before="360"/>
        <w:rPr>
          <w:bCs/>
          <w:szCs w:val="28"/>
        </w:rPr>
      </w:pPr>
      <w:r>
        <w:t>DIRECTOR’S ORDER</w:t>
      </w:r>
    </w:p>
    <w:p w14:paraId="495D53D6" w14:textId="120A1EE4" w:rsidR="00A831C3" w:rsidRPr="00811EFA" w:rsidRDefault="00A831C3" w:rsidP="00A831C3">
      <w:pPr>
        <w:pStyle w:val="Tallinn"/>
        <w:tabs>
          <w:tab w:val="left" w:pos="6285"/>
        </w:tabs>
        <w:rPr>
          <w:szCs w:val="22"/>
        </w:rPr>
      </w:pPr>
      <w:r>
        <w:t>Tallinn</w:t>
      </w:r>
      <w:r>
        <w:tab/>
      </w:r>
      <w:r w:rsidR="00DA2A54">
        <w:fldChar w:fldCharType="begin"/>
      </w:r>
      <w:r w:rsidR="00412848">
        <w:instrText xml:space="preserve"> delta_regDateTime</w:instrText>
      </w:r>
      <w:r w:rsidR="00DA2A54">
        <w:fldChar w:fldCharType="separate"/>
      </w:r>
      <w:r w:rsidR="00412848">
        <w:t>10.12.2024</w:t>
      </w:r>
      <w:r w:rsidR="00DA2A54">
        <w:fldChar w:fldCharType="end"/>
      </w:r>
      <w:r>
        <w:t xml:space="preserve"> No </w:t>
      </w:r>
      <w:r w:rsidR="00DA2A54">
        <w:fldChar w:fldCharType="begin"/>
      </w:r>
      <w:r w:rsidR="00412848">
        <w:instrText xml:space="preserve"> delta_regNumber</w:instrText>
      </w:r>
      <w:r w:rsidR="00DA2A54">
        <w:fldChar w:fldCharType="separate"/>
      </w:r>
      <w:r w:rsidR="00412848">
        <w:t>1-24/299</w:t>
      </w:r>
      <w:r w:rsidR="00DA2A54">
        <w:fldChar w:fldCharType="end"/>
      </w:r>
    </w:p>
    <w:p w14:paraId="5AA2E956" w14:textId="414F6AB1" w:rsidR="00412848" w:rsidRPr="00E56088" w:rsidRDefault="00E85668" w:rsidP="00E56088">
      <w:pPr>
        <w:pStyle w:val="Pealkiri1"/>
        <w:spacing w:after="0"/>
        <w:ind w:right="1274"/>
        <w:rPr>
          <w:rFonts w:eastAsia="Calibri" w:cs="Times New Roman"/>
          <w:b/>
          <w:bCs/>
        </w:rPr>
      </w:pPr>
      <w:r w:rsidRPr="00E56088">
        <w:rPr>
          <w:b/>
          <w:bCs/>
        </w:rPr>
        <w:t>Basis for Operation of the Centre of Academic Affairs of the Estonian Maritime Academy</w:t>
      </w:r>
      <w:r w:rsidRPr="00E56088">
        <w:rPr>
          <w:b/>
          <w:bCs/>
        </w:rPr>
        <w:t xml:space="preserve"> </w:t>
      </w:r>
      <w:r w:rsidR="00DA2A54" w:rsidRPr="00E56088">
        <w:rPr>
          <w:b/>
          <w:bCs/>
        </w:rPr>
        <w:fldChar w:fldCharType="begin"/>
      </w:r>
      <w:r w:rsidR="00412848" w:rsidRPr="00E56088">
        <w:rPr>
          <w:b/>
          <w:bCs/>
        </w:rPr>
        <w:instrText xml:space="preserve"> delta_docName</w:instrText>
      </w:r>
      <w:r w:rsidR="00DA2A54" w:rsidRPr="00E56088">
        <w:rPr>
          <w:b/>
          <w:bCs/>
        </w:rPr>
        <w:fldChar w:fldCharType="separate"/>
      </w:r>
    </w:p>
    <w:p w14:paraId="6F4961B3" w14:textId="74DCEDFD" w:rsidR="005338BD" w:rsidRPr="00811EFA" w:rsidRDefault="00DA2A54" w:rsidP="00E56088">
      <w:pPr>
        <w:pStyle w:val="Pealkiri1"/>
        <w:ind w:right="1983"/>
      </w:pPr>
      <w:r>
        <w:fldChar w:fldCharType="end"/>
      </w:r>
      <w:r>
        <w:t>Based on clauses 3.3 and 5.5.8 of the Statutes of the Estonian Maritime Academy,</w:t>
      </w:r>
    </w:p>
    <w:p w14:paraId="42337B03" w14:textId="55115515" w:rsidR="00A831C3" w:rsidRPr="00E10C13" w:rsidRDefault="00166F63" w:rsidP="00A831C3">
      <w:pPr>
        <w:pStyle w:val="Loetelu"/>
        <w:rPr>
          <w:szCs w:val="22"/>
        </w:rPr>
      </w:pPr>
      <w:r>
        <w:t>I hereby approve the regulation “Basis for Operation of the Centre of Academic Affairs of the Estonian Maritime Academy” (annexed).</w:t>
      </w:r>
    </w:p>
    <w:p w14:paraId="76339740" w14:textId="44F974E8" w:rsidR="00E10C13" w:rsidRPr="00811EFA" w:rsidRDefault="00795131" w:rsidP="00A831C3">
      <w:pPr>
        <w:pStyle w:val="Loetelu"/>
        <w:rPr>
          <w:szCs w:val="22"/>
        </w:rPr>
      </w:pPr>
      <w:r>
        <w:t>I hereby repeal Annex 3 to order No 1-24/253 of 5 September 2022 of the Director of the Estonian Maritime Academy “Approval of the Basis for Operation of the Centres of the Estonian Maritime Academy”</w:t>
      </w:r>
      <w:r w:rsidR="007D1AEF">
        <w:t>.</w:t>
      </w:r>
    </w:p>
    <w:p w14:paraId="4C02FEDA" w14:textId="77777777" w:rsidR="008A1A39" w:rsidRPr="00811EFA" w:rsidRDefault="008A1A39" w:rsidP="003A17A6">
      <w:pPr>
        <w:pStyle w:val="Allkirjastatuddigit"/>
        <w:rPr>
          <w:szCs w:val="22"/>
        </w:rPr>
      </w:pPr>
      <w:r>
        <w:t>(signed digitally)</w:t>
      </w:r>
    </w:p>
    <w:p w14:paraId="29F7C617" w14:textId="77777777" w:rsidR="008062FB" w:rsidRPr="00811EFA" w:rsidRDefault="002B6C2C" w:rsidP="008062FB">
      <w:pPr>
        <w:pStyle w:val="Allkirjastajanimi"/>
        <w:rPr>
          <w:szCs w:val="22"/>
        </w:rPr>
      </w:pPr>
      <w:r>
        <w:t>Roomet Leiger</w:t>
      </w:r>
    </w:p>
    <w:p w14:paraId="2177327B" w14:textId="77777777" w:rsidR="001D05E5" w:rsidRPr="00811EFA" w:rsidRDefault="004D70F7" w:rsidP="00D517CB">
      <w:pPr>
        <w:rPr>
          <w:noProof/>
          <w:szCs w:val="22"/>
        </w:rPr>
      </w:pPr>
      <w:r>
        <w:t>Director</w:t>
      </w:r>
    </w:p>
    <w:p w14:paraId="74D84F27" w14:textId="77777777" w:rsidR="00CF27B5" w:rsidRPr="00811EFA" w:rsidRDefault="00CF27B5" w:rsidP="00D517CB">
      <w:pPr>
        <w:rPr>
          <w:szCs w:val="22"/>
        </w:rPr>
      </w:pPr>
    </w:p>
    <w:p w14:paraId="29618D65" w14:textId="77777777" w:rsidR="00883CA3" w:rsidRPr="00811EFA" w:rsidRDefault="00883CA3" w:rsidP="00D517CB">
      <w:pPr>
        <w:rPr>
          <w:szCs w:val="22"/>
        </w:rPr>
      </w:pPr>
    </w:p>
    <w:p w14:paraId="1E7A29D8" w14:textId="77777777" w:rsidR="00D517CB" w:rsidRPr="00811EFA" w:rsidRDefault="00D517CB" w:rsidP="00D517CB">
      <w:pPr>
        <w:rPr>
          <w:szCs w:val="22"/>
        </w:rPr>
        <w:sectPr w:rsidR="00D517CB" w:rsidRPr="00811EFA" w:rsidSect="006125D6">
          <w:type w:val="continuous"/>
          <w:pgSz w:w="11906" w:h="16838" w:code="9"/>
          <w:pgMar w:top="680" w:right="851" w:bottom="680" w:left="1701" w:header="454" w:footer="510" w:gutter="0"/>
          <w:cols w:space="708"/>
          <w:titlePg/>
        </w:sectPr>
      </w:pPr>
    </w:p>
    <w:p w14:paraId="4FA40841" w14:textId="77777777" w:rsidR="00501378" w:rsidRDefault="00501378" w:rsidP="00F908EC">
      <w:pPr>
        <w:pStyle w:val="Body"/>
        <w:jc w:val="right"/>
      </w:pPr>
      <w:r>
        <w:lastRenderedPageBreak/>
        <w:t>APPROVED</w:t>
      </w:r>
    </w:p>
    <w:p w14:paraId="62DD75B6" w14:textId="52F1185F" w:rsidR="00501378" w:rsidRDefault="00501378" w:rsidP="00F908EC">
      <w:pPr>
        <w:pStyle w:val="Body"/>
        <w:jc w:val="right"/>
      </w:pPr>
      <w:r>
        <w:t xml:space="preserve">by order No </w:t>
      </w:r>
      <w:fldSimple w:instr=" delta_regNumber  \* MERGEFORMAT">
        <w:r w:rsidR="00412848">
          <w:t>1-24/299</w:t>
        </w:r>
      </w:fldSimple>
      <w:r>
        <w:t xml:space="preserve"> of </w:t>
      </w:r>
      <w:r>
        <w:fldChar w:fldCharType="begin"/>
      </w:r>
      <w:r w:rsidR="00412848">
        <w:instrText xml:space="preserve"> delta_regDateTime</w:instrText>
      </w:r>
      <w:r>
        <w:fldChar w:fldCharType="separate"/>
      </w:r>
      <w:r w:rsidR="00412848">
        <w:t>10</w:t>
      </w:r>
      <w:r w:rsidR="007D1AEF">
        <w:t xml:space="preserve"> December </w:t>
      </w:r>
      <w:r w:rsidR="00412848">
        <w:t>2024</w:t>
      </w:r>
      <w:r>
        <w:fldChar w:fldCharType="end"/>
      </w:r>
    </w:p>
    <w:p w14:paraId="64F9A79F" w14:textId="7AF56DA3" w:rsidR="00501378" w:rsidRDefault="00501378" w:rsidP="00F908EC">
      <w:pPr>
        <w:pStyle w:val="Body"/>
        <w:jc w:val="right"/>
      </w:pPr>
      <w:r>
        <w:t>of the Director of the Estonian Maritime Academy</w:t>
      </w:r>
    </w:p>
    <w:p w14:paraId="58A07D2A" w14:textId="77777777" w:rsidR="00501378" w:rsidRDefault="00501378" w:rsidP="00C75B5E">
      <w:pPr>
        <w:jc w:val="right"/>
        <w:rPr>
          <w:szCs w:val="22"/>
        </w:rPr>
      </w:pPr>
    </w:p>
    <w:p w14:paraId="3091F484" w14:textId="77777777" w:rsidR="008307CB" w:rsidRPr="00A329BC" w:rsidRDefault="008307CB" w:rsidP="008307CB">
      <w:pPr>
        <w:pStyle w:val="Lisatekst"/>
        <w:numPr>
          <w:ilvl w:val="0"/>
          <w:numId w:val="0"/>
        </w:numPr>
        <w:rPr>
          <w:rFonts w:eastAsia="Calibri"/>
          <w:b/>
          <w:bCs/>
        </w:rPr>
      </w:pPr>
      <w:r>
        <w:rPr>
          <w:b/>
        </w:rPr>
        <w:t>Basis of Operation of the Centre of Academic Affairs of the Estonian Maritime Academy</w:t>
      </w:r>
    </w:p>
    <w:p w14:paraId="007A9DEC" w14:textId="77777777" w:rsidR="00883CA3" w:rsidRDefault="00883CA3" w:rsidP="005C629C">
      <w:pPr>
        <w:rPr>
          <w:szCs w:val="22"/>
        </w:rPr>
      </w:pPr>
    </w:p>
    <w:p w14:paraId="6853D565" w14:textId="77777777" w:rsidR="008307CB" w:rsidRPr="00800577" w:rsidRDefault="008307CB" w:rsidP="008307CB">
      <w:pPr>
        <w:numPr>
          <w:ilvl w:val="0"/>
          <w:numId w:val="8"/>
        </w:numPr>
        <w:rPr>
          <w:rFonts w:eastAsia="Calibri" w:cstheme="minorHAnsi"/>
          <w:b/>
          <w:bCs/>
        </w:rPr>
      </w:pPr>
      <w:r>
        <w:rPr>
          <w:b/>
        </w:rPr>
        <w:t>General provisions</w:t>
      </w:r>
    </w:p>
    <w:p w14:paraId="732E71D5" w14:textId="77777777" w:rsidR="008307CB" w:rsidRPr="00800577" w:rsidRDefault="008307CB" w:rsidP="008307CB">
      <w:pPr>
        <w:numPr>
          <w:ilvl w:val="1"/>
          <w:numId w:val="8"/>
        </w:numPr>
        <w:rPr>
          <w:rFonts w:eastAsia="Calibri" w:cstheme="minorHAnsi"/>
        </w:rPr>
      </w:pPr>
      <w:r>
        <w:t>The Centre of Academic Affairs is a unit of the Estonian Maritime Academy (hereinafter referred to as “EMERA”).</w:t>
      </w:r>
    </w:p>
    <w:p w14:paraId="57D1F908" w14:textId="77777777" w:rsidR="008307CB" w:rsidRPr="00800577" w:rsidRDefault="008307CB" w:rsidP="008307CB">
      <w:pPr>
        <w:numPr>
          <w:ilvl w:val="1"/>
          <w:numId w:val="8"/>
        </w:numPr>
        <w:rPr>
          <w:rFonts w:eastAsia="Calibri" w:cstheme="minorHAnsi"/>
        </w:rPr>
      </w:pPr>
      <w:r>
        <w:t>The name of the Centre in English is the Centre of Academic Affairs.</w:t>
      </w:r>
    </w:p>
    <w:p w14:paraId="2D4B7D1A" w14:textId="77777777" w:rsidR="008307CB" w:rsidRPr="00800577" w:rsidRDefault="008307CB" w:rsidP="008307CB">
      <w:pPr>
        <w:numPr>
          <w:ilvl w:val="1"/>
          <w:numId w:val="8"/>
        </w:numPr>
        <w:rPr>
          <w:rFonts w:eastAsia="Calibri" w:cstheme="minorHAnsi"/>
        </w:rPr>
      </w:pPr>
      <w:r>
        <w:t>The Basis of Operation set out the goal, fields of activity and main responsibilities, management, composition, ownership of assets and financing of the operations of the Centre of Academic Affairs.</w:t>
      </w:r>
    </w:p>
    <w:p w14:paraId="440B1614" w14:textId="77777777" w:rsidR="008307CB" w:rsidRPr="00800577" w:rsidRDefault="008307CB" w:rsidP="008307CB">
      <w:pPr>
        <w:pStyle w:val="NoSpacing"/>
      </w:pPr>
    </w:p>
    <w:p w14:paraId="785AC99D" w14:textId="77777777" w:rsidR="008307CB" w:rsidRPr="00800577" w:rsidRDefault="008307CB" w:rsidP="008307CB">
      <w:pPr>
        <w:numPr>
          <w:ilvl w:val="0"/>
          <w:numId w:val="8"/>
        </w:numPr>
        <w:rPr>
          <w:rFonts w:eastAsia="Calibri" w:cstheme="minorHAnsi"/>
          <w:b/>
          <w:bCs/>
        </w:rPr>
      </w:pPr>
      <w:r>
        <w:rPr>
          <w:b/>
        </w:rPr>
        <w:t>The goal, fields of activity and main responsibilities</w:t>
      </w:r>
    </w:p>
    <w:p w14:paraId="4DF58FC2" w14:textId="7E6035C9" w:rsidR="008307CB" w:rsidRPr="00800577" w:rsidRDefault="008307CB" w:rsidP="008307CB">
      <w:pPr>
        <w:numPr>
          <w:ilvl w:val="1"/>
          <w:numId w:val="8"/>
        </w:numPr>
        <w:rPr>
          <w:rFonts w:eastAsia="Calibri" w:cstheme="minorHAnsi"/>
        </w:rPr>
      </w:pPr>
      <w:r>
        <w:t xml:space="preserve">The </w:t>
      </w:r>
      <w:r>
        <w:rPr>
          <w:u w:val="single"/>
        </w:rPr>
        <w:t>goal</w:t>
      </w:r>
      <w:r>
        <w:t xml:space="preserve"> of the Centre of Academic Affairs is to provide degree programme courses and continuing education courses at EMEREA in its fields of activity and to ensure that EMERA’s strategic goals are attained in compliance with the STCW Convention, national legislation, and the standards set by the quality management system certificate and activity licence issued by the Transport Administration.</w:t>
      </w:r>
    </w:p>
    <w:p w14:paraId="6098EBE7" w14:textId="77777777" w:rsidR="008307CB" w:rsidRPr="00800577" w:rsidRDefault="008307CB" w:rsidP="008307CB">
      <w:pPr>
        <w:numPr>
          <w:ilvl w:val="1"/>
          <w:numId w:val="8"/>
        </w:numPr>
        <w:rPr>
          <w:rFonts w:eastAsia="Calibri" w:cstheme="minorHAnsi"/>
        </w:rPr>
      </w:pPr>
      <w:r>
        <w:t xml:space="preserve">The </w:t>
      </w:r>
      <w:r>
        <w:rPr>
          <w:b/>
          <w:bCs/>
          <w:u w:val="single"/>
        </w:rPr>
        <w:t>fields of activity</w:t>
      </w:r>
      <w:r>
        <w:t xml:space="preserve"> of the Centre of Academic Affairs are the following:</w:t>
      </w:r>
    </w:p>
    <w:p w14:paraId="659EE25E" w14:textId="79A8A2E5" w:rsidR="008307CB" w:rsidRPr="00800577" w:rsidRDefault="008307CB" w:rsidP="008307CB">
      <w:pPr>
        <w:numPr>
          <w:ilvl w:val="2"/>
          <w:numId w:val="8"/>
        </w:numPr>
        <w:rPr>
          <w:rFonts w:eastAsiaTheme="minorEastAsia"/>
        </w:rPr>
      </w:pPr>
      <w:r>
        <w:t>planning and organising seamless degree and continuing education studies (incl.</w:t>
      </w:r>
      <w:r w:rsidR="006E5328">
        <w:t xml:space="preserve"> </w:t>
      </w:r>
      <w:r>
        <w:t>studies at the Open University);</w:t>
      </w:r>
    </w:p>
    <w:p w14:paraId="1B5F2E1B" w14:textId="14849C11" w:rsidR="008307CB" w:rsidRPr="009277D0" w:rsidRDefault="008307CB" w:rsidP="008307CB">
      <w:pPr>
        <w:numPr>
          <w:ilvl w:val="2"/>
          <w:numId w:val="8"/>
        </w:numPr>
      </w:pPr>
      <w:r>
        <w:t>counselling of learners (students, visiting students, external students, continuing education students);</w:t>
      </w:r>
    </w:p>
    <w:p w14:paraId="2D788240" w14:textId="77777777" w:rsidR="008307CB" w:rsidRPr="00A76485" w:rsidRDefault="008307CB" w:rsidP="008307CB">
      <w:pPr>
        <w:numPr>
          <w:ilvl w:val="2"/>
          <w:numId w:val="8"/>
        </w:numPr>
        <w:rPr>
          <w:rFonts w:eastAsiaTheme="minorEastAsia"/>
        </w:rPr>
      </w:pPr>
      <w:r>
        <w:t>improving and ensuring the quality of teaching;</w:t>
      </w:r>
    </w:p>
    <w:p w14:paraId="03298CD2" w14:textId="77777777" w:rsidR="008307CB" w:rsidRPr="009277D0" w:rsidRDefault="008307CB" w:rsidP="008307CB">
      <w:pPr>
        <w:numPr>
          <w:ilvl w:val="2"/>
          <w:numId w:val="8"/>
        </w:numPr>
        <w:rPr>
          <w:rFonts w:eastAsiaTheme="minorEastAsia"/>
        </w:rPr>
      </w:pPr>
      <w:r>
        <w:t>coordinating the teaching activities of contractual cooperation partners.</w:t>
      </w:r>
    </w:p>
    <w:p w14:paraId="6C0C1746" w14:textId="77777777" w:rsidR="008307CB" w:rsidRDefault="008307CB" w:rsidP="008307CB">
      <w:pPr>
        <w:numPr>
          <w:ilvl w:val="1"/>
          <w:numId w:val="8"/>
        </w:numPr>
        <w:rPr>
          <w:rFonts w:eastAsia="Calibri"/>
        </w:rPr>
      </w:pPr>
      <w:r>
        <w:t xml:space="preserve">The </w:t>
      </w:r>
      <w:r>
        <w:rPr>
          <w:b/>
          <w:bCs/>
          <w:u w:val="single"/>
        </w:rPr>
        <w:t>main responsibilities</w:t>
      </w:r>
      <w:r>
        <w:t xml:space="preserve"> of the Centre of Academic Affairs are the following:</w:t>
      </w:r>
    </w:p>
    <w:p w14:paraId="26E5C11C" w14:textId="77777777" w:rsidR="008307CB" w:rsidRPr="009277D0" w:rsidRDefault="008307CB" w:rsidP="008307CB">
      <w:pPr>
        <w:pStyle w:val="ListParagraph"/>
        <w:numPr>
          <w:ilvl w:val="2"/>
          <w:numId w:val="8"/>
        </w:numPr>
        <w:spacing w:after="0" w:line="240" w:lineRule="auto"/>
        <w:textAlignment w:val="baseline"/>
        <w:rPr>
          <w:rStyle w:val="eop"/>
          <w:rFonts w:ascii="Calibri" w:hAnsi="Calibri" w:cs="Calibri"/>
        </w:rPr>
      </w:pPr>
      <w:r>
        <w:rPr>
          <w:rStyle w:val="normaltextrun"/>
          <w:rFonts w:ascii="Calibri" w:hAnsi="Calibri"/>
        </w:rPr>
        <w:t>providing group input for preparing the timetable;</w:t>
      </w:r>
    </w:p>
    <w:p w14:paraId="572E1022" w14:textId="77777777" w:rsidR="008307CB" w:rsidRPr="009277D0" w:rsidRDefault="008307CB" w:rsidP="008307CB">
      <w:pPr>
        <w:pStyle w:val="ListParagraph"/>
        <w:numPr>
          <w:ilvl w:val="2"/>
          <w:numId w:val="8"/>
        </w:numPr>
        <w:spacing w:after="0" w:line="240" w:lineRule="auto"/>
        <w:textAlignment w:val="baseline"/>
        <w:rPr>
          <w:rStyle w:val="eop"/>
          <w:rFonts w:ascii="Calibri" w:hAnsi="Calibri" w:cs="Calibri"/>
        </w:rPr>
      </w:pPr>
      <w:r>
        <w:rPr>
          <w:rStyle w:val="normaltextrun"/>
          <w:rFonts w:ascii="Calibri" w:hAnsi="Calibri"/>
        </w:rPr>
        <w:t>preparing the timetable based on the proposals</w:t>
      </w:r>
      <w:r>
        <w:rPr>
          <w:rStyle w:val="eop"/>
          <w:rFonts w:ascii="Calibri" w:hAnsi="Calibri"/>
        </w:rPr>
        <w:t>;</w:t>
      </w:r>
    </w:p>
    <w:p w14:paraId="1D2DD4B3" w14:textId="77777777" w:rsidR="008307CB" w:rsidRPr="009277D0" w:rsidRDefault="008307CB" w:rsidP="008307CB">
      <w:pPr>
        <w:pStyle w:val="ListParagraph"/>
        <w:numPr>
          <w:ilvl w:val="2"/>
          <w:numId w:val="8"/>
        </w:numPr>
        <w:spacing w:after="0" w:line="240" w:lineRule="auto"/>
        <w:textAlignment w:val="baseline"/>
        <w:rPr>
          <w:rStyle w:val="eop"/>
          <w:rFonts w:ascii="Calibri" w:hAnsi="Calibri" w:cs="Calibri"/>
        </w:rPr>
      </w:pPr>
      <w:r>
        <w:rPr>
          <w:rStyle w:val="normaltextrun"/>
          <w:rFonts w:ascii="Calibri" w:hAnsi="Calibri"/>
        </w:rPr>
        <w:t>planning and administering continuous education courses;</w:t>
      </w:r>
      <w:r>
        <w:rPr>
          <w:rStyle w:val="eop"/>
          <w:rFonts w:ascii="Calibri" w:hAnsi="Calibri"/>
        </w:rPr>
        <w:t> </w:t>
      </w:r>
    </w:p>
    <w:p w14:paraId="0245A389" w14:textId="77777777" w:rsidR="008307CB" w:rsidRPr="009277D0" w:rsidRDefault="008307CB" w:rsidP="008307CB">
      <w:pPr>
        <w:pStyle w:val="ListParagraph"/>
        <w:numPr>
          <w:ilvl w:val="2"/>
          <w:numId w:val="8"/>
        </w:numPr>
        <w:spacing w:after="0" w:line="240" w:lineRule="auto"/>
        <w:textAlignment w:val="baseline"/>
        <w:rPr>
          <w:rStyle w:val="eop"/>
          <w:rFonts w:ascii="Calibri" w:hAnsi="Calibri" w:cs="Calibri"/>
        </w:rPr>
      </w:pPr>
      <w:r>
        <w:rPr>
          <w:rStyle w:val="normaltextrun"/>
          <w:rFonts w:ascii="Calibri" w:hAnsi="Calibri"/>
        </w:rPr>
        <w:t>coordinating internship;</w:t>
      </w:r>
      <w:r>
        <w:rPr>
          <w:rStyle w:val="eop"/>
          <w:rFonts w:ascii="Calibri" w:hAnsi="Calibri"/>
        </w:rPr>
        <w:t> </w:t>
      </w:r>
    </w:p>
    <w:p w14:paraId="449F5D57" w14:textId="6A34C52E" w:rsidR="008307CB" w:rsidRPr="009277D0" w:rsidRDefault="008307CB" w:rsidP="008307CB">
      <w:pPr>
        <w:pStyle w:val="ListParagraph"/>
        <w:numPr>
          <w:ilvl w:val="2"/>
          <w:numId w:val="8"/>
        </w:numPr>
        <w:spacing w:after="0" w:line="240" w:lineRule="auto"/>
        <w:textAlignment w:val="baseline"/>
        <w:rPr>
          <w:rStyle w:val="eop"/>
          <w:rFonts w:ascii="Calibri" w:hAnsi="Calibri" w:cs="Calibri"/>
        </w:rPr>
      </w:pPr>
      <w:r>
        <w:rPr>
          <w:rStyle w:val="normaltextrun"/>
          <w:rFonts w:ascii="Calibri" w:hAnsi="Calibri"/>
        </w:rPr>
        <w:t>providing support to PhD students in study-related activities;</w:t>
      </w:r>
      <w:r>
        <w:rPr>
          <w:rStyle w:val="eop"/>
          <w:rFonts w:ascii="Calibri" w:hAnsi="Calibri"/>
        </w:rPr>
        <w:t> </w:t>
      </w:r>
    </w:p>
    <w:p w14:paraId="30CCB0A5" w14:textId="77777777" w:rsidR="008307CB" w:rsidRPr="009277D0" w:rsidRDefault="008307CB" w:rsidP="008307CB">
      <w:pPr>
        <w:pStyle w:val="ListParagraph"/>
        <w:numPr>
          <w:ilvl w:val="2"/>
          <w:numId w:val="8"/>
        </w:numPr>
        <w:spacing w:after="0" w:line="240" w:lineRule="auto"/>
        <w:textAlignment w:val="baseline"/>
        <w:rPr>
          <w:rStyle w:val="normaltextrun"/>
          <w:rFonts w:ascii="Calibri" w:hAnsi="Calibri" w:cs="Calibri"/>
        </w:rPr>
      </w:pPr>
      <w:r>
        <w:rPr>
          <w:rStyle w:val="normaltextrun"/>
          <w:rFonts w:ascii="Calibri" w:hAnsi="Calibri"/>
        </w:rPr>
        <w:t>organising medical examinations and training in accordance with the requirements of the STCW Convention;</w:t>
      </w:r>
    </w:p>
    <w:p w14:paraId="37A172D9" w14:textId="7C55A4B9" w:rsidR="008307CB" w:rsidRPr="009277D0" w:rsidRDefault="008307CB" w:rsidP="008307CB">
      <w:pPr>
        <w:pStyle w:val="ListParagraph"/>
        <w:numPr>
          <w:ilvl w:val="2"/>
          <w:numId w:val="8"/>
        </w:numPr>
        <w:spacing w:after="0" w:line="240" w:lineRule="auto"/>
        <w:textAlignment w:val="baseline"/>
        <w:rPr>
          <w:rStyle w:val="normaltextrun"/>
          <w:rFonts w:ascii="Calibri" w:eastAsia="Times New Roman" w:hAnsi="Calibri" w:cs="Calibri"/>
        </w:rPr>
      </w:pPr>
      <w:r>
        <w:rPr>
          <w:rStyle w:val="normaltextrun"/>
          <w:rFonts w:ascii="Calibri" w:hAnsi="Calibri"/>
        </w:rPr>
        <w:t>preparing, issuing and storing documentation regarding studies (applications, orders, invoices, internship and length of service certificates) in compliance with the requirements;</w:t>
      </w:r>
    </w:p>
    <w:p w14:paraId="47BFBE8E" w14:textId="7C477D53" w:rsidR="008307CB" w:rsidRPr="009277D0" w:rsidRDefault="008307CB" w:rsidP="008307CB">
      <w:pPr>
        <w:pStyle w:val="ListParagraph"/>
        <w:numPr>
          <w:ilvl w:val="2"/>
          <w:numId w:val="8"/>
        </w:numPr>
        <w:spacing w:after="0" w:line="240" w:lineRule="auto"/>
        <w:textAlignment w:val="baseline"/>
        <w:rPr>
          <w:rStyle w:val="normaltextrun"/>
          <w:rFonts w:ascii="Calibri" w:eastAsia="Times New Roman" w:hAnsi="Calibri" w:cs="Calibri"/>
        </w:rPr>
      </w:pPr>
      <w:r>
        <w:rPr>
          <w:rStyle w:val="normaltextrun"/>
          <w:rFonts w:ascii="Calibri" w:hAnsi="Calibri"/>
        </w:rPr>
        <w:t xml:space="preserve">supporting </w:t>
      </w:r>
      <w:r w:rsidR="00B21A49">
        <w:rPr>
          <w:rStyle w:val="normaltextrun"/>
          <w:rFonts w:ascii="Calibri" w:hAnsi="Calibri"/>
        </w:rPr>
        <w:t>students</w:t>
      </w:r>
      <w:r>
        <w:rPr>
          <w:rStyle w:val="normaltextrun"/>
          <w:rFonts w:ascii="Calibri" w:hAnsi="Calibri"/>
        </w:rPr>
        <w:t xml:space="preserve"> and programme director</w:t>
      </w:r>
      <w:r w:rsidR="00B21A49">
        <w:rPr>
          <w:rStyle w:val="normaltextrun"/>
          <w:rFonts w:ascii="Calibri" w:hAnsi="Calibri"/>
        </w:rPr>
        <w:t>s</w:t>
      </w:r>
      <w:r>
        <w:rPr>
          <w:rStyle w:val="normaltextrun"/>
          <w:rFonts w:ascii="Calibri" w:hAnsi="Calibri"/>
        </w:rPr>
        <w:t xml:space="preserve"> in the graduation process;</w:t>
      </w:r>
    </w:p>
    <w:p w14:paraId="21FE319E" w14:textId="1040AC13" w:rsidR="008307CB" w:rsidRPr="009277D0" w:rsidRDefault="008307CB" w:rsidP="008307CB">
      <w:pPr>
        <w:pStyle w:val="ListParagraph"/>
        <w:numPr>
          <w:ilvl w:val="2"/>
          <w:numId w:val="8"/>
        </w:numPr>
        <w:spacing w:after="0" w:line="240" w:lineRule="auto"/>
        <w:textAlignment w:val="baseline"/>
        <w:rPr>
          <w:rStyle w:val="eop"/>
          <w:rFonts w:ascii="Calibri" w:eastAsiaTheme="majorEastAsia" w:hAnsi="Calibri" w:cs="Calibri"/>
        </w:rPr>
      </w:pPr>
      <w:r>
        <w:rPr>
          <w:rStyle w:val="normaltextrun"/>
          <w:rFonts w:ascii="Calibri" w:hAnsi="Calibri"/>
        </w:rPr>
        <w:t>preparing, printing, collecting and archiving graduation documents;</w:t>
      </w:r>
    </w:p>
    <w:p w14:paraId="2FC240AF" w14:textId="77777777" w:rsidR="008307CB" w:rsidRPr="009277D0" w:rsidRDefault="008307CB" w:rsidP="008307CB">
      <w:pPr>
        <w:pStyle w:val="ListParagraph"/>
        <w:numPr>
          <w:ilvl w:val="2"/>
          <w:numId w:val="8"/>
        </w:numPr>
        <w:spacing w:after="0" w:line="240" w:lineRule="auto"/>
        <w:textAlignment w:val="baseline"/>
        <w:rPr>
          <w:rStyle w:val="eop"/>
          <w:rFonts w:ascii="Calibri" w:eastAsia="Times New Roman" w:hAnsi="Calibri" w:cs="Calibri"/>
        </w:rPr>
      </w:pPr>
      <w:r>
        <w:rPr>
          <w:rStyle w:val="normaltextrun"/>
          <w:rFonts w:ascii="Calibri" w:hAnsi="Calibri"/>
        </w:rPr>
        <w:t xml:space="preserve">providing assistance to programme directors in organising student admissions and coordinating Open University admissions; </w:t>
      </w:r>
    </w:p>
    <w:p w14:paraId="4A383B96" w14:textId="27F1AE5D" w:rsidR="008307CB" w:rsidRPr="009277D0" w:rsidRDefault="008307CB" w:rsidP="008307CB">
      <w:pPr>
        <w:pStyle w:val="ListParagraph"/>
        <w:numPr>
          <w:ilvl w:val="2"/>
          <w:numId w:val="8"/>
        </w:numPr>
        <w:spacing w:after="0" w:line="240" w:lineRule="auto"/>
        <w:textAlignment w:val="baseline"/>
        <w:rPr>
          <w:rStyle w:val="eop"/>
          <w:rFonts w:ascii="Calibri" w:eastAsia="Times New Roman" w:hAnsi="Calibri" w:cs="Calibri"/>
        </w:rPr>
      </w:pPr>
      <w:r>
        <w:rPr>
          <w:rStyle w:val="normaltextrun"/>
          <w:rFonts w:ascii="Calibri" w:hAnsi="Calibri"/>
        </w:rPr>
        <w:t>counselling students and learners on matters regarding studies and internship;</w:t>
      </w:r>
      <w:r>
        <w:rPr>
          <w:rStyle w:val="eop"/>
          <w:rFonts w:ascii="Calibri" w:hAnsi="Calibri"/>
        </w:rPr>
        <w:t> </w:t>
      </w:r>
    </w:p>
    <w:p w14:paraId="6A52C44E" w14:textId="77777777" w:rsidR="008307CB" w:rsidRPr="009277D0" w:rsidRDefault="008307CB" w:rsidP="008307CB">
      <w:pPr>
        <w:pStyle w:val="ListParagraph"/>
        <w:numPr>
          <w:ilvl w:val="2"/>
          <w:numId w:val="8"/>
        </w:numPr>
        <w:spacing w:after="0" w:line="240" w:lineRule="auto"/>
        <w:textAlignment w:val="baseline"/>
        <w:rPr>
          <w:rStyle w:val="eop"/>
          <w:rFonts w:ascii="Calibri" w:eastAsia="Times New Roman" w:hAnsi="Calibri" w:cs="Calibri"/>
        </w:rPr>
      </w:pPr>
      <w:r>
        <w:rPr>
          <w:rStyle w:val="normaltextrun"/>
          <w:rFonts w:ascii="Calibri" w:hAnsi="Calibri"/>
        </w:rPr>
        <w:t>monitoring the progress of students in their studies and completion of the study programmes, and informing the programme directors;</w:t>
      </w:r>
      <w:r>
        <w:rPr>
          <w:rStyle w:val="eop"/>
          <w:rFonts w:ascii="Calibri" w:hAnsi="Calibri"/>
        </w:rPr>
        <w:t> </w:t>
      </w:r>
    </w:p>
    <w:p w14:paraId="0441C3E0" w14:textId="77777777" w:rsidR="008307CB" w:rsidRPr="009277D0" w:rsidRDefault="008307CB" w:rsidP="008307CB">
      <w:pPr>
        <w:pStyle w:val="ListParagraph"/>
        <w:numPr>
          <w:ilvl w:val="2"/>
          <w:numId w:val="8"/>
        </w:numPr>
        <w:spacing w:after="0" w:line="240" w:lineRule="auto"/>
        <w:textAlignment w:val="baseline"/>
        <w:rPr>
          <w:rStyle w:val="eop"/>
          <w:rFonts w:ascii="Calibri" w:eastAsia="Times New Roman" w:hAnsi="Calibri" w:cs="Calibri"/>
        </w:rPr>
      </w:pPr>
      <w:r>
        <w:rPr>
          <w:rStyle w:val="normaltextrun"/>
          <w:rFonts w:ascii="Calibri" w:hAnsi="Calibri"/>
        </w:rPr>
        <w:t>organising payment of scholarships;</w:t>
      </w:r>
      <w:r>
        <w:rPr>
          <w:rStyle w:val="eop"/>
          <w:rFonts w:ascii="Calibri" w:hAnsi="Calibri"/>
        </w:rPr>
        <w:t> </w:t>
      </w:r>
    </w:p>
    <w:p w14:paraId="6A040C30" w14:textId="77777777" w:rsidR="008307CB" w:rsidRPr="009277D0" w:rsidRDefault="008307CB" w:rsidP="008307CB">
      <w:pPr>
        <w:pStyle w:val="ListParagraph"/>
        <w:numPr>
          <w:ilvl w:val="2"/>
          <w:numId w:val="8"/>
        </w:numPr>
        <w:spacing w:after="0" w:line="240" w:lineRule="auto"/>
        <w:textAlignment w:val="baseline"/>
        <w:rPr>
          <w:rStyle w:val="eop"/>
          <w:rFonts w:ascii="Calibri" w:eastAsia="Times New Roman" w:hAnsi="Calibri" w:cs="Calibri"/>
        </w:rPr>
      </w:pPr>
      <w:r>
        <w:rPr>
          <w:rStyle w:val="normaltextrun"/>
          <w:rFonts w:ascii="Calibri" w:hAnsi="Calibri"/>
        </w:rPr>
        <w:t>coordinating the development and management of continuing education study programmes and micro-degree programmes;</w:t>
      </w:r>
      <w:r>
        <w:rPr>
          <w:rStyle w:val="eop"/>
          <w:rFonts w:ascii="Calibri" w:hAnsi="Calibri"/>
        </w:rPr>
        <w:t> </w:t>
      </w:r>
    </w:p>
    <w:p w14:paraId="385486E6" w14:textId="77777777" w:rsidR="008307CB" w:rsidRPr="009277D0" w:rsidRDefault="008307CB" w:rsidP="008307CB">
      <w:pPr>
        <w:pStyle w:val="ListParagraph"/>
        <w:numPr>
          <w:ilvl w:val="2"/>
          <w:numId w:val="8"/>
        </w:numPr>
        <w:spacing w:after="0" w:line="240" w:lineRule="auto"/>
        <w:textAlignment w:val="baseline"/>
        <w:rPr>
          <w:rStyle w:val="eop"/>
          <w:rFonts w:ascii="Calibri" w:eastAsia="Times New Roman" w:hAnsi="Calibri" w:cs="Calibri"/>
        </w:rPr>
      </w:pPr>
      <w:r>
        <w:rPr>
          <w:rStyle w:val="normaltextrun"/>
          <w:rFonts w:ascii="Calibri" w:hAnsi="Calibri"/>
        </w:rPr>
        <w:t>developing and creating new continuing education study programmes;</w:t>
      </w:r>
      <w:r>
        <w:rPr>
          <w:rStyle w:val="eop"/>
          <w:rFonts w:ascii="Calibri" w:hAnsi="Calibri"/>
        </w:rPr>
        <w:t> </w:t>
      </w:r>
    </w:p>
    <w:p w14:paraId="1DC7E9E4" w14:textId="32FE567A" w:rsidR="008307CB" w:rsidRPr="009277D0" w:rsidRDefault="008307CB" w:rsidP="008307CB">
      <w:pPr>
        <w:pStyle w:val="ListParagraph"/>
        <w:numPr>
          <w:ilvl w:val="2"/>
          <w:numId w:val="8"/>
        </w:numPr>
        <w:spacing w:after="0" w:line="240" w:lineRule="auto"/>
        <w:textAlignment w:val="baseline"/>
        <w:rPr>
          <w:rStyle w:val="eop"/>
          <w:rFonts w:ascii="Calibri" w:eastAsia="Times New Roman" w:hAnsi="Calibri" w:cs="Calibri"/>
        </w:rPr>
      </w:pPr>
      <w:r>
        <w:rPr>
          <w:rStyle w:val="normaltextrun"/>
          <w:rFonts w:ascii="Calibri" w:hAnsi="Calibri"/>
        </w:rPr>
        <w:t>applying for teaching development projects, supporting applicants and managing applications;</w:t>
      </w:r>
    </w:p>
    <w:p w14:paraId="19649C7C" w14:textId="77777777" w:rsidR="008307CB" w:rsidRPr="009277D0" w:rsidRDefault="008307CB" w:rsidP="008307CB">
      <w:pPr>
        <w:pStyle w:val="ListParagraph"/>
        <w:numPr>
          <w:ilvl w:val="2"/>
          <w:numId w:val="8"/>
        </w:numPr>
        <w:spacing w:after="0" w:line="240" w:lineRule="auto"/>
        <w:textAlignment w:val="baseline"/>
        <w:rPr>
          <w:rStyle w:val="eop"/>
          <w:rFonts w:ascii="Calibri" w:eastAsia="Times New Roman" w:hAnsi="Calibri" w:cs="Calibri"/>
        </w:rPr>
      </w:pPr>
      <w:r>
        <w:rPr>
          <w:rStyle w:val="normaltextrun"/>
          <w:rFonts w:ascii="Calibri" w:hAnsi="Calibri"/>
        </w:rPr>
        <w:t>coordinating international student and teaching staff exchanges on behalf of EMERA;</w:t>
      </w:r>
    </w:p>
    <w:p w14:paraId="43D3ED8E" w14:textId="77777777" w:rsidR="008307CB" w:rsidRDefault="008307CB" w:rsidP="008307CB">
      <w:pPr>
        <w:pStyle w:val="ListParagraph"/>
        <w:numPr>
          <w:ilvl w:val="2"/>
          <w:numId w:val="8"/>
        </w:numPr>
        <w:spacing w:after="0" w:line="240" w:lineRule="auto"/>
        <w:rPr>
          <w:rStyle w:val="normaltextrun"/>
          <w:rFonts w:ascii="Calibri" w:eastAsia="Times New Roman" w:hAnsi="Calibri" w:cs="Calibri"/>
        </w:rPr>
      </w:pPr>
      <w:r>
        <w:rPr>
          <w:rStyle w:val="normaltextrun"/>
          <w:rFonts w:ascii="Calibri" w:hAnsi="Calibri"/>
        </w:rPr>
        <w:t>collecting qualification documents of lecturers and instructors involved in teaching continuing education courses and preparing them for approval;</w:t>
      </w:r>
    </w:p>
    <w:p w14:paraId="344D3661" w14:textId="77777777" w:rsidR="008307CB" w:rsidRDefault="008307CB" w:rsidP="008307CB">
      <w:pPr>
        <w:pStyle w:val="ListParagraph"/>
        <w:numPr>
          <w:ilvl w:val="2"/>
          <w:numId w:val="8"/>
        </w:numPr>
        <w:spacing w:after="0" w:line="240" w:lineRule="auto"/>
        <w:rPr>
          <w:rStyle w:val="eop"/>
          <w:rFonts w:ascii="Calibri" w:eastAsia="Times New Roman" w:hAnsi="Calibri" w:cs="Calibri"/>
        </w:rPr>
      </w:pPr>
      <w:r>
        <w:rPr>
          <w:rStyle w:val="eop"/>
          <w:rFonts w:ascii="Calibri" w:hAnsi="Calibri"/>
        </w:rPr>
        <w:t>managing a register of disagreements and customer complaints;</w:t>
      </w:r>
    </w:p>
    <w:p w14:paraId="112C0042" w14:textId="77777777" w:rsidR="008307CB" w:rsidRPr="00E91A9F" w:rsidRDefault="008307CB" w:rsidP="008307CB">
      <w:pPr>
        <w:pStyle w:val="ListParagraph"/>
        <w:numPr>
          <w:ilvl w:val="2"/>
          <w:numId w:val="8"/>
        </w:numPr>
        <w:spacing w:after="0" w:line="240" w:lineRule="auto"/>
        <w:textAlignment w:val="baseline"/>
        <w:rPr>
          <w:rStyle w:val="eop"/>
          <w:rFonts w:ascii="Calibri" w:eastAsia="Times New Roman" w:hAnsi="Calibri" w:cs="Calibri"/>
        </w:rPr>
      </w:pPr>
      <w:r>
        <w:rPr>
          <w:rStyle w:val="normaltextrun"/>
          <w:rFonts w:ascii="Calibri" w:hAnsi="Calibri"/>
        </w:rPr>
        <w:t>collecting feedback on the organisation of studies and continuing education courses, analysing the results of surveys and questionnaires, planning and participating in improvement activities;</w:t>
      </w:r>
    </w:p>
    <w:p w14:paraId="60128F5C" w14:textId="43F9C680" w:rsidR="008307CB" w:rsidRPr="009277D0" w:rsidRDefault="008307CB" w:rsidP="008307CB">
      <w:pPr>
        <w:pStyle w:val="ListParagraph"/>
        <w:numPr>
          <w:ilvl w:val="2"/>
          <w:numId w:val="8"/>
        </w:numPr>
        <w:spacing w:after="0" w:line="240" w:lineRule="auto"/>
        <w:textAlignment w:val="baseline"/>
        <w:rPr>
          <w:rStyle w:val="normaltextrun"/>
          <w:rFonts w:ascii="Calibri" w:eastAsia="Times New Roman" w:hAnsi="Calibri" w:cs="Calibri"/>
        </w:rPr>
      </w:pPr>
      <w:r>
        <w:rPr>
          <w:rStyle w:val="normaltextrun"/>
          <w:rFonts w:ascii="Calibri" w:hAnsi="Calibri"/>
        </w:rPr>
        <w:t>coordinating the studies of the students of the Estonian Military Academy;</w:t>
      </w:r>
    </w:p>
    <w:p w14:paraId="43129CC8" w14:textId="22B178F6" w:rsidR="008307CB" w:rsidRPr="00E91A9F" w:rsidRDefault="008307CB" w:rsidP="008307CB">
      <w:pPr>
        <w:pStyle w:val="ListParagraph"/>
        <w:numPr>
          <w:ilvl w:val="2"/>
          <w:numId w:val="8"/>
        </w:numPr>
        <w:spacing w:after="0" w:line="240" w:lineRule="auto"/>
        <w:textAlignment w:val="baseline"/>
        <w:rPr>
          <w:rStyle w:val="normaltextrun"/>
          <w:rFonts w:ascii="Calibri" w:eastAsia="Times New Roman" w:hAnsi="Calibri" w:cs="Calibri"/>
        </w:rPr>
      </w:pPr>
      <w:r>
        <w:rPr>
          <w:rStyle w:val="normaltextrun"/>
          <w:rFonts w:ascii="Calibri" w:hAnsi="Calibri"/>
        </w:rPr>
        <w:t>drawing up tenders and training proposals for various stakeholders, and organising continuing education courses on the basis of these proposals;</w:t>
      </w:r>
    </w:p>
    <w:p w14:paraId="3C156EC3" w14:textId="45632788" w:rsidR="008307CB" w:rsidRPr="002C3F8A" w:rsidRDefault="008307CB" w:rsidP="008307CB">
      <w:pPr>
        <w:pStyle w:val="ListParagraph"/>
        <w:numPr>
          <w:ilvl w:val="2"/>
          <w:numId w:val="8"/>
        </w:numPr>
        <w:spacing w:after="0" w:line="240" w:lineRule="auto"/>
        <w:textAlignment w:val="baseline"/>
        <w:rPr>
          <w:rFonts w:eastAsia="Calibri"/>
        </w:rPr>
      </w:pPr>
      <w:r>
        <w:rPr>
          <w:rStyle w:val="normaltextrun"/>
          <w:rFonts w:ascii="Calibri" w:hAnsi="Calibri"/>
        </w:rPr>
        <w:lastRenderedPageBreak/>
        <w:t>managing the regulations and guidelines for teaching and learning, proposing amendments as needed, and ensuring actions align with the established rules;</w:t>
      </w:r>
    </w:p>
    <w:p w14:paraId="1D46FAF8" w14:textId="7FBB3FD7" w:rsidR="008307CB" w:rsidRDefault="008307CB" w:rsidP="008307CB">
      <w:pPr>
        <w:numPr>
          <w:ilvl w:val="2"/>
          <w:numId w:val="8"/>
        </w:numPr>
        <w:rPr>
          <w:rFonts w:eastAsia="Calibri"/>
        </w:rPr>
      </w:pPr>
      <w:r>
        <w:t>managing the degree study and continuing education information on EMERA’s subsite of the university’s external website;</w:t>
      </w:r>
    </w:p>
    <w:p w14:paraId="4716C48D" w14:textId="77777777" w:rsidR="008307CB" w:rsidRPr="00C15BFB" w:rsidRDefault="008307CB" w:rsidP="008307CB">
      <w:pPr>
        <w:pStyle w:val="ListParagraph"/>
        <w:numPr>
          <w:ilvl w:val="2"/>
          <w:numId w:val="8"/>
        </w:numPr>
        <w:rPr>
          <w:rFonts w:eastAsia="Calibri"/>
        </w:rPr>
      </w:pPr>
      <w:r>
        <w:t>providing input for marketing and communication activities in its areas of activity;</w:t>
      </w:r>
    </w:p>
    <w:p w14:paraId="4F7F2180" w14:textId="1E96833D" w:rsidR="008307CB" w:rsidRDefault="008307CB" w:rsidP="008307CB">
      <w:pPr>
        <w:pStyle w:val="ListParagraph"/>
        <w:numPr>
          <w:ilvl w:val="2"/>
          <w:numId w:val="8"/>
        </w:numPr>
        <w:spacing w:after="0" w:line="240" w:lineRule="auto"/>
        <w:rPr>
          <w:rFonts w:eastAsia="Calibri"/>
        </w:rPr>
      </w:pPr>
      <w:r>
        <w:t>providing input to the Infrastructure Centre to ensure the development of the  infrastructure, resources and conditions required for conducting degree courses and continuing education courses;</w:t>
      </w:r>
    </w:p>
    <w:p w14:paraId="5B3501E4" w14:textId="7603F143" w:rsidR="008307CB" w:rsidRDefault="008307CB" w:rsidP="008307CB">
      <w:pPr>
        <w:pStyle w:val="ListParagraph"/>
        <w:numPr>
          <w:ilvl w:val="2"/>
          <w:numId w:val="8"/>
        </w:numPr>
        <w:spacing w:after="0" w:line="240" w:lineRule="auto"/>
        <w:rPr>
          <w:rFonts w:eastAsia="Calibri"/>
        </w:rPr>
      </w:pPr>
      <w:r>
        <w:t>promoting the university’s reputation and image among partners and stakeholders</w:t>
      </w:r>
      <w:r w:rsidR="00681D1A">
        <w:t xml:space="preserve"> by</w:t>
      </w:r>
      <w:r>
        <w:t xml:space="preserve"> aligning daily activities with EMERA’s strategic goals, vision, and mission</w:t>
      </w:r>
      <w:r w:rsidR="006D2652">
        <w:t xml:space="preserve">. </w:t>
      </w:r>
    </w:p>
    <w:p w14:paraId="1B96723B" w14:textId="77777777" w:rsidR="008307CB" w:rsidRDefault="008307CB" w:rsidP="008307CB">
      <w:pPr>
        <w:pStyle w:val="ListParagraph"/>
        <w:numPr>
          <w:ilvl w:val="2"/>
          <w:numId w:val="8"/>
        </w:numPr>
        <w:spacing w:after="0" w:line="240" w:lineRule="auto"/>
        <w:rPr>
          <w:rFonts w:eastAsia="Calibri"/>
        </w:rPr>
      </w:pPr>
      <w:r>
        <w:t>performing other functions in compliance with the Basis of Operation and other legislation.</w:t>
      </w:r>
    </w:p>
    <w:p w14:paraId="75A8F235" w14:textId="77777777" w:rsidR="008307CB" w:rsidRPr="00800577" w:rsidRDefault="008307CB" w:rsidP="008307CB">
      <w:pPr>
        <w:pStyle w:val="NoSpacing"/>
      </w:pPr>
    </w:p>
    <w:p w14:paraId="6D60E4F8" w14:textId="77777777" w:rsidR="008307CB" w:rsidRPr="00800577" w:rsidRDefault="008307CB" w:rsidP="008307CB">
      <w:pPr>
        <w:numPr>
          <w:ilvl w:val="0"/>
          <w:numId w:val="8"/>
        </w:numPr>
        <w:rPr>
          <w:rFonts w:eastAsia="Calibri" w:cstheme="minorHAnsi"/>
          <w:b/>
          <w:bCs/>
        </w:rPr>
      </w:pPr>
      <w:r>
        <w:rPr>
          <w:b/>
        </w:rPr>
        <w:t>Management and composition</w:t>
      </w:r>
    </w:p>
    <w:p w14:paraId="393CF8E7" w14:textId="56B81A7F" w:rsidR="008307CB" w:rsidRPr="00800577" w:rsidRDefault="008307CB" w:rsidP="008307CB">
      <w:pPr>
        <w:numPr>
          <w:ilvl w:val="1"/>
          <w:numId w:val="8"/>
        </w:numPr>
        <w:rPr>
          <w:rFonts w:eastAsia="Calibri" w:cstheme="minorHAnsi"/>
        </w:rPr>
      </w:pPr>
      <w:r>
        <w:t>The Centre of Academic Affairs includes:</w:t>
      </w:r>
    </w:p>
    <w:p w14:paraId="732584AA" w14:textId="77777777" w:rsidR="008307CB" w:rsidRPr="00800577" w:rsidRDefault="008307CB" w:rsidP="008307CB">
      <w:pPr>
        <w:numPr>
          <w:ilvl w:val="2"/>
          <w:numId w:val="8"/>
        </w:numPr>
        <w:rPr>
          <w:rFonts w:eastAsia="Calibri" w:cstheme="minorHAnsi"/>
        </w:rPr>
      </w:pPr>
      <w:r>
        <w:t>Student Counsellors:</w:t>
      </w:r>
    </w:p>
    <w:p w14:paraId="015F6A4B" w14:textId="3EDDD7F7" w:rsidR="008307CB" w:rsidRPr="00800577" w:rsidRDefault="008307CB" w:rsidP="008307CB">
      <w:pPr>
        <w:numPr>
          <w:ilvl w:val="2"/>
          <w:numId w:val="8"/>
        </w:numPr>
        <w:rPr>
          <w:rFonts w:eastAsia="Calibri" w:cstheme="minorHAnsi"/>
        </w:rPr>
      </w:pPr>
      <w:r>
        <w:t>the Internship Coordinator,</w:t>
      </w:r>
    </w:p>
    <w:p w14:paraId="447D6E87" w14:textId="77777777" w:rsidR="008307CB" w:rsidRPr="00800577" w:rsidRDefault="008307CB" w:rsidP="008307CB">
      <w:pPr>
        <w:numPr>
          <w:ilvl w:val="2"/>
          <w:numId w:val="8"/>
        </w:numPr>
        <w:rPr>
          <w:rFonts w:cstheme="minorHAnsi"/>
        </w:rPr>
      </w:pPr>
      <w:r>
        <w:t>the Maritime Training Coordinator;</w:t>
      </w:r>
    </w:p>
    <w:p w14:paraId="1B05FC20" w14:textId="77777777" w:rsidR="008307CB" w:rsidRPr="00800577" w:rsidRDefault="008307CB" w:rsidP="008307CB">
      <w:pPr>
        <w:numPr>
          <w:ilvl w:val="2"/>
          <w:numId w:val="8"/>
        </w:numPr>
        <w:rPr>
          <w:rFonts w:cstheme="minorHAnsi"/>
        </w:rPr>
      </w:pPr>
      <w:r>
        <w:t>the Academic Development Specialist;</w:t>
      </w:r>
    </w:p>
    <w:p w14:paraId="4FA616B7" w14:textId="77777777" w:rsidR="008307CB" w:rsidRPr="00800577" w:rsidRDefault="008307CB" w:rsidP="008307CB">
      <w:pPr>
        <w:numPr>
          <w:ilvl w:val="2"/>
          <w:numId w:val="8"/>
        </w:numPr>
      </w:pPr>
      <w:r>
        <w:t>the Academic Development Project Coordinator.</w:t>
      </w:r>
    </w:p>
    <w:p w14:paraId="31C24213" w14:textId="77777777" w:rsidR="008307CB" w:rsidRPr="00800577" w:rsidRDefault="008307CB" w:rsidP="008307CB">
      <w:pPr>
        <w:numPr>
          <w:ilvl w:val="1"/>
          <w:numId w:val="8"/>
        </w:numPr>
        <w:rPr>
          <w:rFonts w:eastAsia="Calibri"/>
        </w:rPr>
      </w:pPr>
      <w:r>
        <w:t>The Centre of Academic Affairs is led by the Head of the Centre of Academic Affairs.</w:t>
      </w:r>
    </w:p>
    <w:p w14:paraId="046D9358" w14:textId="77777777" w:rsidR="008307CB" w:rsidRPr="00800577" w:rsidRDefault="008307CB" w:rsidP="008307CB">
      <w:pPr>
        <w:pStyle w:val="NoSpacing"/>
      </w:pPr>
    </w:p>
    <w:p w14:paraId="7ABA5289" w14:textId="77777777" w:rsidR="008307CB" w:rsidRPr="00800577" w:rsidRDefault="008307CB" w:rsidP="008307CB">
      <w:pPr>
        <w:numPr>
          <w:ilvl w:val="0"/>
          <w:numId w:val="8"/>
        </w:numPr>
        <w:rPr>
          <w:rFonts w:eastAsia="Calibri" w:cstheme="minorHAnsi"/>
          <w:b/>
          <w:bCs/>
        </w:rPr>
      </w:pPr>
      <w:r>
        <w:rPr>
          <w:b/>
        </w:rPr>
        <w:t>Assets and financing</w:t>
      </w:r>
    </w:p>
    <w:p w14:paraId="58FD3B1E" w14:textId="43A6A1EA" w:rsidR="008307CB" w:rsidRPr="00800577" w:rsidRDefault="008307CB" w:rsidP="008307CB">
      <w:pPr>
        <w:numPr>
          <w:ilvl w:val="1"/>
          <w:numId w:val="8"/>
        </w:numPr>
        <w:rPr>
          <w:rFonts w:eastAsia="Calibri" w:cstheme="minorHAnsi"/>
        </w:rPr>
      </w:pPr>
      <w:r>
        <w:t xml:space="preserve">The university </w:t>
      </w:r>
      <w:r w:rsidR="00425CB7">
        <w:t>owns</w:t>
      </w:r>
      <w:r>
        <w:t xml:space="preserve"> the assets </w:t>
      </w:r>
      <w:r w:rsidR="00425CB7">
        <w:t>provided to</w:t>
      </w:r>
      <w:r>
        <w:t xml:space="preserve"> the Centre of Academic Affairs.</w:t>
      </w:r>
    </w:p>
    <w:p w14:paraId="05D1D6BA" w14:textId="77777777" w:rsidR="008307CB" w:rsidRDefault="008307CB" w:rsidP="008307CB">
      <w:pPr>
        <w:numPr>
          <w:ilvl w:val="1"/>
          <w:numId w:val="8"/>
        </w:numPr>
        <w:rPr>
          <w:rFonts w:eastAsia="Calibri" w:cstheme="minorHAnsi"/>
        </w:rPr>
      </w:pPr>
      <w:r>
        <w:t>The assets of the Centre of Academic Affairs shall be managed and used in compliance with the Statutes of the Estonian Maritime Academy, the university’s Work Procedure Rules and other documents governing work.</w:t>
      </w:r>
    </w:p>
    <w:p w14:paraId="5E275577" w14:textId="77777777" w:rsidR="008307CB" w:rsidRPr="00497BFF" w:rsidRDefault="008307CB" w:rsidP="008307CB">
      <w:pPr>
        <w:numPr>
          <w:ilvl w:val="1"/>
          <w:numId w:val="8"/>
        </w:numPr>
        <w:rPr>
          <w:rFonts w:eastAsia="Calibri" w:cstheme="minorHAnsi"/>
        </w:rPr>
      </w:pPr>
      <w:r>
        <w:t>The Centre of Academic Affairs has its own budget, which forms part of EMERA’s budget. The Head of the Centre of Academic Affairs is the authorising officer of the budget funds and financing sources of the Centre of Academic Affairs.</w:t>
      </w:r>
    </w:p>
    <w:p w14:paraId="1027F7A3" w14:textId="77777777" w:rsidR="008307CB" w:rsidRPr="00811EFA" w:rsidRDefault="008307CB" w:rsidP="005C629C">
      <w:pPr>
        <w:rPr>
          <w:szCs w:val="22"/>
        </w:rPr>
      </w:pPr>
    </w:p>
    <w:p w14:paraId="7B091ACE" w14:textId="77777777" w:rsidR="00D517CB" w:rsidRPr="00811EFA" w:rsidRDefault="00D517CB" w:rsidP="00883CA3">
      <w:pPr>
        <w:rPr>
          <w:szCs w:val="22"/>
        </w:rPr>
      </w:pPr>
    </w:p>
    <w:sectPr w:rsidR="00D517CB" w:rsidRPr="00811EFA" w:rsidSect="00FF5E7A">
      <w:headerReference w:type="even" r:id="rId13"/>
      <w:headerReference w:type="default" r:id="rId14"/>
      <w:footerReference w:type="even" r:id="rId15"/>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D51E7" w14:textId="77777777" w:rsidR="008307CB" w:rsidRDefault="008307CB">
      <w:r>
        <w:separator/>
      </w:r>
    </w:p>
  </w:endnote>
  <w:endnote w:type="continuationSeparator" w:id="0">
    <w:p w14:paraId="3A3404C5" w14:textId="77777777" w:rsidR="008307CB" w:rsidRDefault="0083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8C98" w14:textId="77777777" w:rsidR="00450B27" w:rsidRDefault="00450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F66587" w14:textId="77777777" w:rsidR="00450B27" w:rsidRDefault="0045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F6DB" w14:textId="77777777" w:rsidR="00BD4707" w:rsidRDefault="00BB6C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DC1635" w14:textId="77777777" w:rsidR="00BD4707" w:rsidRDefault="00BD4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80795" w14:textId="77777777" w:rsidR="008307CB" w:rsidRDefault="008307CB">
      <w:r>
        <w:separator/>
      </w:r>
    </w:p>
  </w:footnote>
  <w:footnote w:type="continuationSeparator" w:id="0">
    <w:p w14:paraId="710A968D" w14:textId="77777777" w:rsidR="008307CB" w:rsidRDefault="0083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A5BB" w14:textId="77777777" w:rsidR="00450B27" w:rsidRDefault="00450B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C2DD5D" w14:textId="77777777" w:rsidR="00450B27" w:rsidRDefault="004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23F7" w14:textId="77777777" w:rsidR="00450B27" w:rsidRDefault="00450B27" w:rsidP="006125D6">
    <w:pPr>
      <w:pStyle w:val="Head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5137">
      <w:rPr>
        <w:rStyle w:val="PageNumber"/>
      </w:rPr>
      <w:t>2</w:t>
    </w:r>
    <w:r>
      <w:rPr>
        <w:rStyle w:val="PageNumber"/>
      </w:rPr>
      <w:fldChar w:fldCharType="end"/>
    </w:r>
  </w:p>
  <w:p w14:paraId="075CA189" w14:textId="77777777" w:rsidR="00450B27" w:rsidRDefault="00450B2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EEFC" w14:textId="77777777" w:rsidR="00BD4707" w:rsidRDefault="00BB6C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740539" w14:textId="77777777" w:rsidR="00BD4707" w:rsidRDefault="00BD47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816147"/>
      <w:docPartObj>
        <w:docPartGallery w:val="Page Numbers (Top of Page)"/>
        <w:docPartUnique/>
      </w:docPartObj>
    </w:sdtPr>
    <w:sdtEndPr/>
    <w:sdtContent>
      <w:p w14:paraId="7828AF44" w14:textId="77777777" w:rsidR="00BD4707" w:rsidRDefault="00BB6CB6">
        <w:pPr>
          <w:pStyle w:val="Header"/>
          <w:jc w:val="center"/>
        </w:pPr>
        <w:r>
          <w:fldChar w:fldCharType="begin"/>
        </w:r>
        <w:r>
          <w:instrText>PAGE   \* MERGEFORMAT</w:instrText>
        </w:r>
        <w:r>
          <w:fldChar w:fldCharType="separate"/>
        </w:r>
        <w:r w:rsidR="00412848">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D80236E"/>
    <w:multiLevelType w:val="multilevel"/>
    <w:tmpl w:val="4BB007E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940873922">
    <w:abstractNumId w:val="5"/>
  </w:num>
  <w:num w:numId="2" w16cid:durableId="546452267">
    <w:abstractNumId w:val="6"/>
  </w:num>
  <w:num w:numId="3" w16cid:durableId="262612160">
    <w:abstractNumId w:val="0"/>
  </w:num>
  <w:num w:numId="4" w16cid:durableId="1662738441">
    <w:abstractNumId w:val="1"/>
  </w:num>
  <w:num w:numId="5" w16cid:durableId="128014499">
    <w:abstractNumId w:val="4"/>
  </w:num>
  <w:num w:numId="6" w16cid:durableId="1079213412">
    <w:abstractNumId w:val="4"/>
  </w:num>
  <w:num w:numId="7" w16cid:durableId="2006009505">
    <w:abstractNumId w:val="3"/>
  </w:num>
  <w:num w:numId="8" w16cid:durableId="358118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CB"/>
    <w:rsid w:val="00050A7A"/>
    <w:rsid w:val="00054244"/>
    <w:rsid w:val="000A52ED"/>
    <w:rsid w:val="000B63FD"/>
    <w:rsid w:val="000C6556"/>
    <w:rsid w:val="000E4A2B"/>
    <w:rsid w:val="001319C3"/>
    <w:rsid w:val="0014041B"/>
    <w:rsid w:val="00166F63"/>
    <w:rsid w:val="00181DB9"/>
    <w:rsid w:val="001D05E5"/>
    <w:rsid w:val="001E7223"/>
    <w:rsid w:val="00201B12"/>
    <w:rsid w:val="00203A79"/>
    <w:rsid w:val="00204B8E"/>
    <w:rsid w:val="00207D15"/>
    <w:rsid w:val="002216AF"/>
    <w:rsid w:val="002267B2"/>
    <w:rsid w:val="00252306"/>
    <w:rsid w:val="00276CFC"/>
    <w:rsid w:val="0029000F"/>
    <w:rsid w:val="002B6C2C"/>
    <w:rsid w:val="002C5780"/>
    <w:rsid w:val="00316C57"/>
    <w:rsid w:val="00350816"/>
    <w:rsid w:val="003603E1"/>
    <w:rsid w:val="003610BC"/>
    <w:rsid w:val="0036202D"/>
    <w:rsid w:val="0037527E"/>
    <w:rsid w:val="003A17A6"/>
    <w:rsid w:val="003A3DC0"/>
    <w:rsid w:val="003E2946"/>
    <w:rsid w:val="003F25F3"/>
    <w:rsid w:val="00412848"/>
    <w:rsid w:val="00412C7A"/>
    <w:rsid w:val="00425CB7"/>
    <w:rsid w:val="0043759C"/>
    <w:rsid w:val="00440E5B"/>
    <w:rsid w:val="00450B27"/>
    <w:rsid w:val="004803F4"/>
    <w:rsid w:val="004873ED"/>
    <w:rsid w:val="004C1221"/>
    <w:rsid w:val="004D70F7"/>
    <w:rsid w:val="004D7FF1"/>
    <w:rsid w:val="00500ADF"/>
    <w:rsid w:val="00501378"/>
    <w:rsid w:val="00520B85"/>
    <w:rsid w:val="00524CD9"/>
    <w:rsid w:val="00531128"/>
    <w:rsid w:val="005338BD"/>
    <w:rsid w:val="005953C7"/>
    <w:rsid w:val="005C629C"/>
    <w:rsid w:val="005F7BD6"/>
    <w:rsid w:val="006125D6"/>
    <w:rsid w:val="006176FA"/>
    <w:rsid w:val="00641771"/>
    <w:rsid w:val="00650ACC"/>
    <w:rsid w:val="00670E84"/>
    <w:rsid w:val="00681D1A"/>
    <w:rsid w:val="006905AC"/>
    <w:rsid w:val="0069694B"/>
    <w:rsid w:val="006B28DE"/>
    <w:rsid w:val="006C54D8"/>
    <w:rsid w:val="006D01D7"/>
    <w:rsid w:val="006D2652"/>
    <w:rsid w:val="006D78CC"/>
    <w:rsid w:val="006E413C"/>
    <w:rsid w:val="006E5328"/>
    <w:rsid w:val="006E6D10"/>
    <w:rsid w:val="006F2A5B"/>
    <w:rsid w:val="00743188"/>
    <w:rsid w:val="00757244"/>
    <w:rsid w:val="00781A97"/>
    <w:rsid w:val="00786714"/>
    <w:rsid w:val="00795131"/>
    <w:rsid w:val="007C689D"/>
    <w:rsid w:val="007D1AEF"/>
    <w:rsid w:val="007D76CC"/>
    <w:rsid w:val="007F06C6"/>
    <w:rsid w:val="008062FB"/>
    <w:rsid w:val="00811EFA"/>
    <w:rsid w:val="00816F21"/>
    <w:rsid w:val="008307CB"/>
    <w:rsid w:val="00841B7E"/>
    <w:rsid w:val="00843834"/>
    <w:rsid w:val="00883CA3"/>
    <w:rsid w:val="008A1A39"/>
    <w:rsid w:val="008A2066"/>
    <w:rsid w:val="008A4EAB"/>
    <w:rsid w:val="008B1943"/>
    <w:rsid w:val="008C2E19"/>
    <w:rsid w:val="008E1F3D"/>
    <w:rsid w:val="008E5755"/>
    <w:rsid w:val="009001F4"/>
    <w:rsid w:val="00985DEE"/>
    <w:rsid w:val="009B17A2"/>
    <w:rsid w:val="009C577C"/>
    <w:rsid w:val="009F343A"/>
    <w:rsid w:val="00A329BC"/>
    <w:rsid w:val="00A622E1"/>
    <w:rsid w:val="00A717DD"/>
    <w:rsid w:val="00A831C3"/>
    <w:rsid w:val="00A93D3B"/>
    <w:rsid w:val="00AB48A9"/>
    <w:rsid w:val="00AF7081"/>
    <w:rsid w:val="00B10506"/>
    <w:rsid w:val="00B11E2C"/>
    <w:rsid w:val="00B21A49"/>
    <w:rsid w:val="00B221F1"/>
    <w:rsid w:val="00B25946"/>
    <w:rsid w:val="00B41ACF"/>
    <w:rsid w:val="00BB6CB6"/>
    <w:rsid w:val="00BD1A31"/>
    <w:rsid w:val="00BD4707"/>
    <w:rsid w:val="00BF5137"/>
    <w:rsid w:val="00C11566"/>
    <w:rsid w:val="00C436F1"/>
    <w:rsid w:val="00C50B23"/>
    <w:rsid w:val="00C52950"/>
    <w:rsid w:val="00C75B5E"/>
    <w:rsid w:val="00CE69D1"/>
    <w:rsid w:val="00CE6AB9"/>
    <w:rsid w:val="00CF27B5"/>
    <w:rsid w:val="00D06FE8"/>
    <w:rsid w:val="00D44E34"/>
    <w:rsid w:val="00D517CB"/>
    <w:rsid w:val="00D778E2"/>
    <w:rsid w:val="00D91251"/>
    <w:rsid w:val="00D972D6"/>
    <w:rsid w:val="00DA2A54"/>
    <w:rsid w:val="00DC15E4"/>
    <w:rsid w:val="00DC6188"/>
    <w:rsid w:val="00DE1C36"/>
    <w:rsid w:val="00DE2C92"/>
    <w:rsid w:val="00E10C13"/>
    <w:rsid w:val="00E11CC8"/>
    <w:rsid w:val="00E32DDF"/>
    <w:rsid w:val="00E33F41"/>
    <w:rsid w:val="00E349F7"/>
    <w:rsid w:val="00E35D33"/>
    <w:rsid w:val="00E4751A"/>
    <w:rsid w:val="00E55745"/>
    <w:rsid w:val="00E56088"/>
    <w:rsid w:val="00E70534"/>
    <w:rsid w:val="00E83192"/>
    <w:rsid w:val="00E85668"/>
    <w:rsid w:val="00EC15C1"/>
    <w:rsid w:val="00EC7BDD"/>
    <w:rsid w:val="00ED6536"/>
    <w:rsid w:val="00F16E2F"/>
    <w:rsid w:val="00F17F8F"/>
    <w:rsid w:val="00F27045"/>
    <w:rsid w:val="00F61DAC"/>
    <w:rsid w:val="00F73B63"/>
    <w:rsid w:val="00F84234"/>
    <w:rsid w:val="00F84CA9"/>
    <w:rsid w:val="00F908A6"/>
    <w:rsid w:val="00F908EC"/>
    <w:rsid w:val="00FD1D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18EFE126"/>
  <w15:docId w15:val="{38C1312F-AD39-49CE-A663-4D5811A1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18"/>
        <w:lang w:val="en-GB"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9C"/>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D517CB"/>
    <w:pPr>
      <w:spacing w:after="120"/>
    </w:pPr>
  </w:style>
  <w:style w:type="character" w:styleId="PageNumber">
    <w:name w:val="page number"/>
    <w:basedOn w:val="DefaultParagraphFont"/>
  </w:style>
  <w:style w:type="paragraph" w:customStyle="1" w:styleId="Dokumendinimetus">
    <w:name w:val="Dokumendi nimetus"/>
    <w:basedOn w:val="Pea"/>
    <w:next w:val="BodyText"/>
    <w:qFormat/>
    <w:rsid w:val="007C689D"/>
    <w:pPr>
      <w:spacing w:before="920"/>
      <w:ind w:left="0" w:right="5103"/>
      <w:jc w:val="left"/>
    </w:pPr>
    <w:rPr>
      <w:caps/>
    </w:rPr>
  </w:style>
  <w:style w:type="paragraph" w:customStyle="1" w:styleId="Pea">
    <w:name w:val="Pea"/>
    <w:basedOn w:val="BodyText"/>
    <w:pPr>
      <w:ind w:left="-1134"/>
      <w:jc w:val="center"/>
    </w:pPr>
    <w:rPr>
      <w:sz w:val="28"/>
    </w:rPr>
  </w:style>
  <w:style w:type="paragraph" w:customStyle="1" w:styleId="Loetelu">
    <w:name w:val="Loetelu"/>
    <w:basedOn w:val="Normal"/>
    <w:rsid w:val="00A93D3B"/>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Normal"/>
    <w:next w:val="BodyText"/>
    <w:qFormat/>
    <w:rsid w:val="00A831C3"/>
    <w:pPr>
      <w:spacing w:before="120" w:after="920"/>
    </w:pPr>
  </w:style>
  <w:style w:type="paragraph" w:customStyle="1" w:styleId="Pealkiri1">
    <w:name w:val="Pealkiri1"/>
    <w:basedOn w:val="Normal"/>
    <w:next w:val="Normal"/>
    <w:qFormat/>
    <w:rsid w:val="00412C7A"/>
    <w:pPr>
      <w:spacing w:after="480"/>
      <w:ind w:right="5103"/>
    </w:pPr>
  </w:style>
  <w:style w:type="paragraph" w:customStyle="1" w:styleId="Allkirjastajanimi">
    <w:name w:val="Allkirjastaja nimi"/>
    <w:basedOn w:val="Normal"/>
    <w:next w:val="BodyText"/>
    <w:qFormat/>
    <w:rsid w:val="008A1A39"/>
  </w:style>
  <w:style w:type="paragraph" w:customStyle="1" w:styleId="Allkirjastatuddigit">
    <w:name w:val="Allkirjastatud digit"/>
    <w:basedOn w:val="Normal"/>
    <w:qFormat/>
    <w:rsid w:val="00B10506"/>
    <w:pPr>
      <w:spacing w:before="480" w:after="120"/>
    </w:pPr>
  </w:style>
  <w:style w:type="paragraph" w:customStyle="1" w:styleId="Lisatekst">
    <w:name w:val="Lisatekst"/>
    <w:basedOn w:val="Normal"/>
    <w:rsid w:val="00883CA3"/>
    <w:pPr>
      <w:numPr>
        <w:numId w:val="7"/>
      </w:numPr>
      <w:tabs>
        <w:tab w:val="left" w:pos="6521"/>
      </w:tabs>
      <w:spacing w:before="120"/>
    </w:pPr>
  </w:style>
  <w:style w:type="paragraph" w:customStyle="1" w:styleId="Body">
    <w:name w:val="Body"/>
    <w:basedOn w:val="Normal"/>
    <w:rsid w:val="00883CA3"/>
    <w:pPr>
      <w:tabs>
        <w:tab w:val="left" w:pos="6521"/>
      </w:tabs>
    </w:pPr>
  </w:style>
  <w:style w:type="paragraph" w:customStyle="1" w:styleId="Lisapealkiri">
    <w:name w:val="Lisapealkiri"/>
    <w:basedOn w:val="BodyText"/>
    <w:next w:val="BodyText"/>
    <w:qFormat/>
    <w:rsid w:val="00883CA3"/>
    <w:pPr>
      <w:tabs>
        <w:tab w:val="left" w:pos="6521"/>
      </w:tabs>
      <w:spacing w:before="280" w:after="280"/>
    </w:pPr>
    <w:rPr>
      <w:b/>
    </w:rPr>
  </w:style>
  <w:style w:type="paragraph" w:customStyle="1" w:styleId="BodyTextees">
    <w:name w:val="Body Text ees"/>
    <w:basedOn w:val="Normal"/>
    <w:qFormat/>
    <w:rsid w:val="00D517CB"/>
    <w:pPr>
      <w:tabs>
        <w:tab w:val="left" w:pos="6521"/>
      </w:tabs>
      <w:spacing w:before="120"/>
    </w:pPr>
  </w:style>
  <w:style w:type="paragraph" w:customStyle="1" w:styleId="LisaBodyt">
    <w:name w:val="LisaBodyt"/>
    <w:basedOn w:val="Normal"/>
    <w:qFormat/>
    <w:rsid w:val="00757244"/>
    <w:pPr>
      <w:numPr>
        <w:ilvl w:val="1"/>
        <w:numId w:val="7"/>
      </w:numPr>
    </w:pPr>
  </w:style>
  <w:style w:type="paragraph" w:customStyle="1" w:styleId="LisaBodyt2">
    <w:name w:val="LisaBodyt2"/>
    <w:basedOn w:val="LisaBodyt"/>
    <w:qFormat/>
    <w:rsid w:val="00883CA3"/>
    <w:pPr>
      <w:numPr>
        <w:ilvl w:val="2"/>
      </w:numPr>
    </w:pPr>
  </w:style>
  <w:style w:type="character" w:customStyle="1" w:styleId="HeaderChar">
    <w:name w:val="Header Char"/>
    <w:basedOn w:val="DefaultParagraphFont"/>
    <w:link w:val="Header"/>
    <w:uiPriority w:val="99"/>
    <w:rsid w:val="00883CA3"/>
    <w:rPr>
      <w:sz w:val="24"/>
      <w:lang w:eastAsia="en-US"/>
    </w:rPr>
  </w:style>
  <w:style w:type="paragraph" w:styleId="NoSpacing">
    <w:name w:val="No Spacing"/>
    <w:uiPriority w:val="1"/>
    <w:qFormat/>
    <w:rsid w:val="008307CB"/>
    <w:rPr>
      <w:rFonts w:asciiTheme="minorHAnsi" w:eastAsiaTheme="minorHAnsi" w:hAnsiTheme="minorHAnsi" w:cstheme="minorBidi"/>
      <w:szCs w:val="22"/>
      <w:lang w:eastAsia="en-US"/>
    </w:rPr>
  </w:style>
  <w:style w:type="paragraph" w:styleId="ListParagraph">
    <w:name w:val="List Paragraph"/>
    <w:basedOn w:val="Normal"/>
    <w:uiPriority w:val="34"/>
    <w:qFormat/>
    <w:rsid w:val="008307CB"/>
    <w:pPr>
      <w:spacing w:after="160" w:line="259" w:lineRule="auto"/>
      <w:ind w:left="720"/>
      <w:contextualSpacing/>
    </w:pPr>
    <w:rPr>
      <w:rFonts w:asciiTheme="minorHAnsi" w:eastAsiaTheme="minorHAnsi" w:hAnsiTheme="minorHAnsi" w:cstheme="minorBidi"/>
      <w:szCs w:val="22"/>
      <w:lang w:eastAsia="en-US"/>
    </w:rPr>
  </w:style>
  <w:style w:type="character" w:customStyle="1" w:styleId="normaltextrun">
    <w:name w:val="normaltextrun"/>
    <w:basedOn w:val="DefaultParagraphFont"/>
    <w:rsid w:val="008307CB"/>
  </w:style>
  <w:style w:type="character" w:customStyle="1" w:styleId="eop">
    <w:name w:val="eop"/>
    <w:basedOn w:val="DefaultParagraphFont"/>
    <w:rsid w:val="008307CB"/>
  </w:style>
  <w:style w:type="character" w:styleId="CommentReference">
    <w:name w:val="annotation reference"/>
    <w:basedOn w:val="DefaultParagraphFont"/>
    <w:uiPriority w:val="99"/>
    <w:semiHidden/>
    <w:unhideWhenUsed/>
    <w:rsid w:val="008307CB"/>
    <w:rPr>
      <w:sz w:val="16"/>
      <w:szCs w:val="16"/>
    </w:rPr>
  </w:style>
  <w:style w:type="paragraph" w:styleId="CommentText">
    <w:name w:val="annotation text"/>
    <w:basedOn w:val="Normal"/>
    <w:link w:val="CommentTextChar"/>
    <w:uiPriority w:val="99"/>
    <w:unhideWhenUsed/>
    <w:rsid w:val="008307CB"/>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8307CB"/>
    <w:rPr>
      <w:rFonts w:asciiTheme="minorHAnsi" w:eastAsiaTheme="minorHAnsi" w:hAnsiTheme="minorHAnsi" w:cstheme="minorBidi"/>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vier\OneDrive%20-%20Tallinna%20Tehnika&#252;likool\Documents\TV_juhiabi_kaust\_Allalaaditud_failid\Direktori_korraldus_lisag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58F4-7A42-479A-B3D7-6B54EB91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Direktori_korraldus_lisaga (2).dotx</Template>
  <TotalTime>13</TotalTime>
  <Pages>3</Pages>
  <Words>866</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Terje Viertek</dc:creator>
  <cp:keywords/>
  <dc:description/>
  <cp:lastModifiedBy>Kati Lätte</cp:lastModifiedBy>
  <cp:revision>10</cp:revision>
  <cp:lastPrinted>2003-02-05T10:15:00Z</cp:lastPrinted>
  <dcterms:created xsi:type="dcterms:W3CDTF">2024-12-10T09:30:00Z</dcterms:created>
  <dcterms:modified xsi:type="dcterms:W3CDTF">2025-01-07T09:41:00Z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{JP kehtiv kuni kirjeldus}</vt:lpwstr>
  </property>
  <property fmtid="{D5CDD505-2E9C-101B-9397-08002B2CF9AE}" pid="10" name="delta_accessRestrictionReason">
    <vt:lpwstr>{JP alus}</vt:lpwstr>
  </property>
</Properties>
</file>