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7C36" w14:textId="77777777" w:rsidR="0044199A" w:rsidRPr="0044199A" w:rsidRDefault="0044199A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</w:p>
    <w:p w14:paraId="3A4EDD76" w14:textId="61390520" w:rsidR="0044199A" w:rsidRPr="0044199A" w:rsidRDefault="009C3CC8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  <w:r>
        <w:rPr>
          <w:rFonts w:ascii="Calibri" w:eastAsia="Calibri" w:hAnsi="Calibri" w:cs="Times New Roman"/>
          <w:b/>
          <w:bCs/>
          <w:lang w:val="et"/>
        </w:rPr>
        <w:t>Eesti Mereakadeemia taristu</w:t>
      </w:r>
      <w:r w:rsidR="004C0605" w:rsidRPr="004C0605">
        <w:rPr>
          <w:rFonts w:ascii="Calibri" w:eastAsia="Calibri" w:hAnsi="Calibri" w:cs="Times New Roman"/>
          <w:b/>
          <w:bCs/>
          <w:lang w:val="et"/>
        </w:rPr>
        <w:t>keskuse tegevuse alused</w:t>
      </w:r>
    </w:p>
    <w:p w14:paraId="613775E2" w14:textId="4D0CCD7A" w:rsidR="009C3CC8" w:rsidRPr="007C6BAD" w:rsidRDefault="009C3CC8" w:rsidP="009C3CC8">
      <w:pPr>
        <w:pStyle w:val="Vahedeta"/>
        <w:rPr>
          <w:rFonts w:eastAsia="Calibri"/>
        </w:rPr>
      </w:pPr>
    </w:p>
    <w:p w14:paraId="27B2465B" w14:textId="77777777" w:rsidR="009C3CC8" w:rsidRPr="007C6BAD" w:rsidRDefault="009C3CC8" w:rsidP="009C3CC8">
      <w:pPr>
        <w:numPr>
          <w:ilvl w:val="0"/>
          <w:numId w:val="2"/>
        </w:numPr>
        <w:spacing w:after="0" w:line="240" w:lineRule="auto"/>
        <w:rPr>
          <w:rFonts w:eastAsia="Calibri"/>
          <w:b/>
          <w:bCs/>
        </w:rPr>
      </w:pPr>
      <w:r w:rsidRPr="007C6BAD">
        <w:rPr>
          <w:rFonts w:eastAsia="Calibri"/>
          <w:b/>
          <w:bCs/>
        </w:rPr>
        <w:t>Üldsätted</w:t>
      </w:r>
    </w:p>
    <w:p w14:paraId="7D41D012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>Taristukeskus on Eesti Mereakadeemia (edaspidi EMERA) struktuuri kuuluv üksus.</w:t>
      </w:r>
    </w:p>
    <w:p w14:paraId="60D83986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 xml:space="preserve">Taristukeskuse ingliskeelne nimetus on </w:t>
      </w:r>
      <w:r w:rsidRPr="007C6BAD">
        <w:rPr>
          <w:rFonts w:eastAsia="Calibri"/>
          <w:i/>
          <w:iCs/>
          <w:lang w:val="en-US"/>
        </w:rPr>
        <w:t>Infrastructure Centre</w:t>
      </w:r>
      <w:r w:rsidRPr="007C6BAD">
        <w:rPr>
          <w:rFonts w:eastAsia="Calibri"/>
        </w:rPr>
        <w:t>.</w:t>
      </w:r>
    </w:p>
    <w:p w14:paraId="6223B49A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>Tegevuse alustega sätestatakse taristukeskuse eesmärk, tegevusvaldkonnad ja põhiülesanded, juhtimine, koosseis, vara valdamine ning tegevuse finantseerimine.</w:t>
      </w:r>
    </w:p>
    <w:p w14:paraId="0ED45981" w14:textId="77777777" w:rsidR="009C3CC8" w:rsidRPr="007C6BAD" w:rsidRDefault="009C3CC8" w:rsidP="009C3CC8">
      <w:pPr>
        <w:pStyle w:val="Vahedeta"/>
      </w:pPr>
    </w:p>
    <w:p w14:paraId="037A7060" w14:textId="77777777" w:rsidR="009C3CC8" w:rsidRPr="007C6BAD" w:rsidRDefault="009C3CC8" w:rsidP="009C3CC8">
      <w:pPr>
        <w:numPr>
          <w:ilvl w:val="0"/>
          <w:numId w:val="2"/>
        </w:numPr>
        <w:spacing w:after="0" w:line="240" w:lineRule="auto"/>
        <w:rPr>
          <w:rFonts w:eastAsia="Calibri"/>
          <w:b/>
          <w:bCs/>
        </w:rPr>
      </w:pPr>
      <w:r w:rsidRPr="007C6BAD">
        <w:rPr>
          <w:rFonts w:eastAsia="Calibri"/>
          <w:b/>
          <w:bCs/>
        </w:rPr>
        <w:t>Eesmärk, tegevusvaldkonnad ja põhiülesanded</w:t>
      </w:r>
    </w:p>
    <w:p w14:paraId="0B35C36F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Theme="minorEastAsia"/>
        </w:rPr>
      </w:pPr>
      <w:r w:rsidRPr="007C6BAD">
        <w:rPr>
          <w:rFonts w:eastAsia="Calibri"/>
        </w:rPr>
        <w:t xml:space="preserve">Taristukeskuse </w:t>
      </w:r>
      <w:r w:rsidRPr="007C6BAD">
        <w:rPr>
          <w:rFonts w:eastAsia="Calibri"/>
          <w:u w:val="single"/>
        </w:rPr>
        <w:t>eesmärgiks</w:t>
      </w:r>
      <w:r w:rsidRPr="007C6BAD">
        <w:rPr>
          <w:rFonts w:eastAsia="Calibri"/>
        </w:rPr>
        <w:t xml:space="preserve"> on oma tegevusvaldkondades toetada EMERA õppe- ja teadustöö läbiviimist ning tagada EMERA strateegiliste eesmärkide saavut</w:t>
      </w:r>
      <w:r w:rsidRPr="007C6BAD">
        <w:t>amine vastavuses STCW konventsiooni ja riigisiseste õigusaktide nõuetega ning kvaliteedijuhtimissüsteemi sertifikaadi ja Transpordiameti väljastatud tegevusloaga tunnustatud tasemel.</w:t>
      </w:r>
    </w:p>
    <w:p w14:paraId="2897216A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 xml:space="preserve">Taristukeskuse </w:t>
      </w:r>
      <w:r w:rsidRPr="007C6BAD">
        <w:rPr>
          <w:rFonts w:eastAsia="Calibri"/>
          <w:u w:val="single"/>
        </w:rPr>
        <w:t>tegevusvaldkonnad</w:t>
      </w:r>
      <w:r w:rsidRPr="007C6BAD">
        <w:rPr>
          <w:rFonts w:eastAsia="Calibri"/>
        </w:rPr>
        <w:t xml:space="preserve"> on:</w:t>
      </w:r>
    </w:p>
    <w:p w14:paraId="48E999CD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>nõuetekohase ning vajadustele vastava õpi- ja teaduskeskkonna tagamine ja arendamine;</w:t>
      </w:r>
    </w:p>
    <w:p w14:paraId="44BE3373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Theme="minorEastAsia"/>
        </w:rPr>
      </w:pPr>
      <w:r w:rsidRPr="007C6BAD">
        <w:rPr>
          <w:rFonts w:eastAsia="Calibri"/>
        </w:rPr>
        <w:t>nõuetekohaste ning vajadustele vastava õppe- ja teadusvahendite tagamine.</w:t>
      </w:r>
    </w:p>
    <w:p w14:paraId="4FC8A4C8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 xml:space="preserve">Taristukeskuse </w:t>
      </w:r>
      <w:r w:rsidRPr="007C6BAD">
        <w:rPr>
          <w:rFonts w:eastAsia="Calibri"/>
          <w:u w:val="single"/>
        </w:rPr>
        <w:t>põhiülesanded</w:t>
      </w:r>
      <w:r w:rsidRPr="007C6BAD">
        <w:rPr>
          <w:rFonts w:eastAsia="Calibri"/>
        </w:rPr>
        <w:t xml:space="preserve"> on:</w:t>
      </w:r>
    </w:p>
    <w:p w14:paraId="5F667CF9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Theme="minorEastAsia"/>
        </w:rPr>
      </w:pPr>
      <w:r w:rsidRPr="007C6BAD">
        <w:rPr>
          <w:rFonts w:eastAsia="Calibri"/>
        </w:rPr>
        <w:t>auditooriumite valmisoleku jälgimine, vajadusel mööbli, IKT vahendite ja muude õppetegevuseks vajalike lahenduste korraldamine koostöös ülikooli kinnisvaraosakonna ja kinnisvarahalduriga;</w:t>
      </w:r>
    </w:p>
    <w:p w14:paraId="79D54102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Theme="minorEastAsia"/>
        </w:rPr>
      </w:pPr>
      <w:r w:rsidRPr="56EDC619">
        <w:rPr>
          <w:rFonts w:eastAsia="Calibri"/>
        </w:rPr>
        <w:t>keskuse koosseisus olevate laborite ja töökodade tegevuse koordineerimine ning arendamine koostöös programmijuhtide, õppekeskuse, laborite vastutavate õppejõudude ja uurimisrühmadega;</w:t>
      </w:r>
    </w:p>
    <w:p w14:paraId="052BE0CB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</w:pPr>
      <w:r w:rsidRPr="007C6BAD">
        <w:rPr>
          <w:rFonts w:eastAsia="Calibri"/>
        </w:rPr>
        <w:t>EMERA veesõidukite haldamine;</w:t>
      </w:r>
    </w:p>
    <w:p w14:paraId="7F5B70FB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</w:pPr>
      <w:r w:rsidRPr="007C6BAD">
        <w:rPr>
          <w:rFonts w:eastAsia="Calibri"/>
        </w:rPr>
        <w:t>õppe- ja teadustööks vajalike seadmete, kirjanduse, inventari, õppematerjalide, tarkvaralitsentside ja muude vahendite hankimine</w:t>
      </w:r>
      <w:r>
        <w:rPr>
          <w:rFonts w:eastAsia="Calibri"/>
        </w:rPr>
        <w:t>,</w:t>
      </w:r>
      <w:r w:rsidRPr="007C6BAD">
        <w:rPr>
          <w:rFonts w:eastAsia="Calibri"/>
        </w:rPr>
        <w:t xml:space="preserve"> nõuetekohasuse ja korrasoleku (hoolduse) tagamine, nendest ülevaate omamine ning uuendamine;</w:t>
      </w:r>
    </w:p>
    <w:p w14:paraId="720A57F3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Theme="minorEastAsia"/>
        </w:rPr>
      </w:pPr>
      <w:r w:rsidRPr="007C6BAD">
        <w:rPr>
          <w:rFonts w:eastAsia="Calibri"/>
        </w:rPr>
        <w:t>taristu ja vahendite arendusplaani koostamine ja elluviimine, sh projektidest ja fondidest lisarahastuse hankimine;</w:t>
      </w:r>
    </w:p>
    <w:p w14:paraId="11DCEE68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Theme="minorEastAsia"/>
        </w:rPr>
      </w:pPr>
      <w:r w:rsidRPr="56EDC619">
        <w:rPr>
          <w:rFonts w:eastAsia="Calibri"/>
        </w:rPr>
        <w:t>valdkondliku dokumentatsiooni (riskianalüüsid, hoolduspäevikud ja -aktid, sisekorra- ja tööohutuseeskirjadega tutvumislehed, seadmete sertifikaadid jms) nõuetekohane koostamine, haldamine (sh allkirja vastu tutvustamine) ja säilitamine;</w:t>
      </w:r>
    </w:p>
    <w:p w14:paraId="63B2B943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7C6BAD">
        <w:rPr>
          <w:rFonts w:ascii="Calibri" w:eastAsia="Calibri" w:hAnsi="Calibri" w:cs="Calibri"/>
        </w:rPr>
        <w:t>tegevusvaldkonna regulatsioonide ja juhendite haldamine ning teiste tegevusvaldkonnaga seotud regulatsioonide muutmiseks ettepanekute tegemine ning regulatsioonide täitmise kontrolli korraldamine;</w:t>
      </w:r>
    </w:p>
    <w:p w14:paraId="5A7A22FE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7C6BAD">
        <w:rPr>
          <w:rFonts w:ascii="Calibri" w:eastAsia="Calibri" w:hAnsi="Calibri" w:cs="Calibri"/>
        </w:rPr>
        <w:t>muude ülesannete täitmine vastavalt tegevuse alustele ja teistele regulatsioonidele.</w:t>
      </w:r>
    </w:p>
    <w:p w14:paraId="1A9D5A72" w14:textId="77777777" w:rsidR="009C3CC8" w:rsidRPr="007C6BAD" w:rsidRDefault="009C3CC8" w:rsidP="009C3CC8">
      <w:pPr>
        <w:pStyle w:val="Vahedeta"/>
      </w:pPr>
    </w:p>
    <w:p w14:paraId="21A377AC" w14:textId="77777777" w:rsidR="009C3CC8" w:rsidRPr="007C6BAD" w:rsidRDefault="009C3CC8" w:rsidP="009C3CC8">
      <w:pPr>
        <w:numPr>
          <w:ilvl w:val="0"/>
          <w:numId w:val="2"/>
        </w:numPr>
        <w:spacing w:after="0" w:line="240" w:lineRule="auto"/>
        <w:rPr>
          <w:rFonts w:eastAsia="Calibri"/>
          <w:b/>
          <w:bCs/>
        </w:rPr>
      </w:pPr>
      <w:r w:rsidRPr="007C6BAD">
        <w:rPr>
          <w:rFonts w:eastAsia="Calibri"/>
          <w:b/>
          <w:bCs/>
        </w:rPr>
        <w:t>Juhtimine ja koosseis</w:t>
      </w:r>
    </w:p>
    <w:p w14:paraId="1732B410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>Taristukeskuse struktuuri kuuluvad:</w:t>
      </w:r>
    </w:p>
    <w:p w14:paraId="0F329498" w14:textId="77777777" w:rsidR="009C3CC8" w:rsidRPr="007C6BAD" w:rsidRDefault="009C3CC8" w:rsidP="009C3CC8">
      <w:pPr>
        <w:numPr>
          <w:ilvl w:val="2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007C6BAD">
        <w:rPr>
          <w:rFonts w:eastAsia="Calibri"/>
          <w:color w:val="000000" w:themeColor="text1"/>
        </w:rPr>
        <w:t xml:space="preserve">simulaatorikeskus (inglise keeles </w:t>
      </w:r>
      <w:r w:rsidRPr="007C6BAD">
        <w:rPr>
          <w:rFonts w:eastAsia="Calibri"/>
          <w:i/>
          <w:iCs/>
          <w:color w:val="000000" w:themeColor="text1"/>
          <w:lang w:val="en-GB"/>
        </w:rPr>
        <w:t>Simulator Centre</w:t>
      </w:r>
      <w:r w:rsidRPr="007C6BAD">
        <w:rPr>
          <w:rFonts w:eastAsia="Calibri"/>
          <w:i/>
          <w:iCs/>
          <w:color w:val="000000" w:themeColor="text1"/>
        </w:rPr>
        <w:t>)</w:t>
      </w:r>
      <w:r w:rsidRPr="007C6BAD">
        <w:rPr>
          <w:rFonts w:eastAsia="Calibri"/>
          <w:color w:val="000000" w:themeColor="text1"/>
        </w:rPr>
        <w:t>;</w:t>
      </w:r>
    </w:p>
    <w:p w14:paraId="227B4956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automaatikalabor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Process Automation Lab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6EB931F8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pneumaatika-hüdraulika õppelabor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</w:rPr>
        <w:t>Pneumatics and Hydraulics Lab)</w:t>
      </w:r>
      <w:r w:rsidRPr="007C6BAD">
        <w:rPr>
          <w:rFonts w:ascii="Calibri" w:eastAsia="Calibri" w:hAnsi="Calibri" w:cs="Calibri"/>
          <w:color w:val="000000" w:themeColor="text1"/>
        </w:rPr>
        <w:t>;</w:t>
      </w:r>
    </w:p>
    <w:p w14:paraId="51BEED1B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külmatehnika 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Refrigeration</w:t>
      </w:r>
      <w:r w:rsidRPr="007C6BAD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Lab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249B01F2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keevitustöökoda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Welding Workshop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69A67249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lukksepatöökoda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Locksmith Workshop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317B3E66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elektrimontaaži 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Electrical Installation Lab</w:t>
      </w:r>
      <w:r w:rsidRPr="007C6BAD">
        <w:rPr>
          <w:rFonts w:ascii="Calibri" w:eastAsia="Calibri" w:hAnsi="Calibri" w:cs="Calibri"/>
          <w:i/>
          <w:iCs/>
          <w:color w:val="000000" w:themeColor="text1"/>
        </w:rPr>
        <w:t>)</w:t>
      </w:r>
      <w:r w:rsidRPr="007C6BAD">
        <w:rPr>
          <w:rFonts w:ascii="Calibri" w:eastAsia="Calibri" w:hAnsi="Calibri" w:cs="Calibri"/>
          <w:color w:val="000000" w:themeColor="text1"/>
        </w:rPr>
        <w:t>;</w:t>
      </w:r>
    </w:p>
    <w:p w14:paraId="6015ADC3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metallide lõiketöötlemise õppetöökoda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Metal Cutting Workshop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3AB80275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diiseljõuseadmete- ja remondilabor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Marine Diesel Powerplants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40431C91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füüsikalabor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Physics Lab</w:t>
      </w:r>
      <w:r w:rsidRPr="007C6BAD">
        <w:rPr>
          <w:rFonts w:ascii="Calibri" w:eastAsia="Calibri" w:hAnsi="Calibri" w:cs="Calibri"/>
          <w:i/>
          <w:iCs/>
          <w:color w:val="000000" w:themeColor="text1"/>
        </w:rPr>
        <w:t>)</w:t>
      </w:r>
      <w:r w:rsidRPr="007C6BAD">
        <w:rPr>
          <w:rFonts w:ascii="Calibri" w:eastAsia="Calibri" w:hAnsi="Calibri" w:cs="Calibri"/>
          <w:color w:val="000000" w:themeColor="text1"/>
        </w:rPr>
        <w:t>;</w:t>
      </w:r>
    </w:p>
    <w:p w14:paraId="69ABCD40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elektrotehnika- ja elektroonikalabor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Electronics and Electrical Engineering Lab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7EEE03A3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lastRenderedPageBreak/>
        <w:t xml:space="preserve">kalakvaliteedi-, ökoloogia- ja ihtüoloogialabor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Fish Quality, Ichthyology and Ecology Lab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0C0E79EE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kalatehnoloogia 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  <w:lang w:val="en-GB"/>
        </w:rPr>
        <w:t>Fish Processing Technology Lab</w:t>
      </w:r>
      <w:r w:rsidRPr="007C6BAD">
        <w:rPr>
          <w:rFonts w:ascii="Calibri" w:eastAsia="Calibri" w:hAnsi="Calibri" w:cs="Calibri"/>
          <w:color w:val="000000" w:themeColor="text1"/>
        </w:rPr>
        <w:t>);</w:t>
      </w:r>
    </w:p>
    <w:p w14:paraId="226860BA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Theme="minorEastAsia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 xml:space="preserve">merenduse küberjulgeoleku labor (inglise keeles </w:t>
      </w:r>
      <w:r w:rsidRPr="007C6BAD">
        <w:rPr>
          <w:rFonts w:ascii="Calibri" w:eastAsia="Calibri" w:hAnsi="Calibri" w:cs="Calibri"/>
          <w:i/>
          <w:iCs/>
          <w:color w:val="000000" w:themeColor="text1"/>
        </w:rPr>
        <w:t>Maritime Cybersecurity Lab</w:t>
      </w:r>
      <w:r w:rsidRPr="007C6BAD">
        <w:rPr>
          <w:rFonts w:ascii="Calibri" w:eastAsia="Calibri" w:hAnsi="Calibri" w:cs="Calibri"/>
          <w:color w:val="000000" w:themeColor="text1"/>
        </w:rPr>
        <w:t>).</w:t>
      </w:r>
    </w:p>
    <w:p w14:paraId="19537B11" w14:textId="77777777" w:rsidR="009C3CC8" w:rsidRPr="007C6BAD" w:rsidRDefault="009C3CC8" w:rsidP="009C3CC8">
      <w:pPr>
        <w:pStyle w:val="Loendilik"/>
        <w:numPr>
          <w:ilvl w:val="1"/>
          <w:numId w:val="2"/>
        </w:numPr>
        <w:spacing w:line="240" w:lineRule="auto"/>
        <w:rPr>
          <w:rFonts w:ascii="Calibri" w:hAnsi="Calibri" w:cs="Calibri"/>
          <w:color w:val="000000" w:themeColor="text1"/>
        </w:rPr>
      </w:pPr>
      <w:r w:rsidRPr="007C6BAD">
        <w:rPr>
          <w:rFonts w:ascii="Calibri" w:eastAsia="Calibri" w:hAnsi="Calibri" w:cs="Calibri"/>
        </w:rPr>
        <w:t>Taristukeskuse tööd juhib taristukeskuse juhataja.</w:t>
      </w:r>
    </w:p>
    <w:p w14:paraId="32A4F732" w14:textId="77777777" w:rsidR="009C3CC8" w:rsidRPr="007C6BAD" w:rsidRDefault="009C3CC8" w:rsidP="009C3CC8">
      <w:pPr>
        <w:pStyle w:val="Loendilik"/>
        <w:numPr>
          <w:ilvl w:val="2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7C6BAD">
        <w:rPr>
          <w:rFonts w:ascii="Calibri" w:eastAsia="Calibri" w:hAnsi="Calibri" w:cs="Calibri"/>
          <w:color w:val="000000" w:themeColor="text1"/>
        </w:rPr>
        <w:t>Labori eest vastutava töötaja laboriga seotud lisaülesanded, õigused ja kohustused sätestatakse tema ametijuhendis.</w:t>
      </w:r>
    </w:p>
    <w:p w14:paraId="7DABFF98" w14:textId="77777777" w:rsidR="009C3CC8" w:rsidRPr="007C6BAD" w:rsidRDefault="009C3CC8" w:rsidP="009C3CC8">
      <w:pPr>
        <w:pStyle w:val="Loendilik"/>
        <w:spacing w:after="0" w:line="240" w:lineRule="auto"/>
        <w:ind w:left="0"/>
        <w:rPr>
          <w:rFonts w:ascii="Calibri" w:eastAsia="Calibri" w:hAnsi="Calibri" w:cs="Calibri"/>
          <w:color w:val="000000" w:themeColor="text1"/>
        </w:rPr>
      </w:pPr>
    </w:p>
    <w:p w14:paraId="4A796088" w14:textId="77777777" w:rsidR="009C3CC8" w:rsidRPr="007C6BAD" w:rsidRDefault="009C3CC8" w:rsidP="009C3CC8">
      <w:pPr>
        <w:numPr>
          <w:ilvl w:val="0"/>
          <w:numId w:val="2"/>
        </w:numPr>
        <w:spacing w:after="0" w:line="240" w:lineRule="auto"/>
        <w:rPr>
          <w:rFonts w:eastAsia="Calibri"/>
          <w:b/>
          <w:bCs/>
        </w:rPr>
      </w:pPr>
      <w:r w:rsidRPr="007C6BAD">
        <w:rPr>
          <w:rFonts w:eastAsia="Calibri"/>
          <w:b/>
          <w:bCs/>
        </w:rPr>
        <w:t>Vara ja finantseerimine</w:t>
      </w:r>
    </w:p>
    <w:p w14:paraId="2D79140E" w14:textId="77777777" w:rsidR="009C3CC8" w:rsidRPr="007C6BAD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>Taristukeskuse valdusse ja kasutusse antud vara on ülikooli vara.</w:t>
      </w:r>
    </w:p>
    <w:p w14:paraId="72C6C4E0" w14:textId="77777777" w:rsidR="00555515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7C6BAD">
        <w:rPr>
          <w:rFonts w:eastAsia="Calibri"/>
        </w:rPr>
        <w:t>Taristukeskuse vara vallatakse ja kasutatakse kooskõlas EMERA põhimääruse, ülikooli sise-eeskirjade ning teiste tööd reguleerivate dokumentidega.</w:t>
      </w:r>
    </w:p>
    <w:p w14:paraId="6AE9381C" w14:textId="304C1B79" w:rsidR="009C3CC8" w:rsidRPr="00555515" w:rsidRDefault="009C3CC8" w:rsidP="009C3CC8">
      <w:pPr>
        <w:numPr>
          <w:ilvl w:val="1"/>
          <w:numId w:val="2"/>
        </w:numPr>
        <w:spacing w:after="0" w:line="240" w:lineRule="auto"/>
        <w:rPr>
          <w:rFonts w:eastAsia="Calibri"/>
        </w:rPr>
      </w:pPr>
      <w:r w:rsidRPr="00555515">
        <w:rPr>
          <w:rFonts w:eastAsia="Calibri" w:cs="Calibri"/>
        </w:rPr>
        <w:t>Taristukeskusel on eelarve, mis on EMERA eelarve osa. Taristukeskuse eelarvevahendite ja finantsallikate käsutajaks on taristukeskuse juhataja.</w:t>
      </w:r>
    </w:p>
    <w:sectPr w:rsidR="009C3CC8" w:rsidRPr="00555515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4B04" w14:textId="77777777" w:rsidR="0044199A" w:rsidRDefault="0044199A" w:rsidP="0044199A">
      <w:pPr>
        <w:spacing w:after="0" w:line="240" w:lineRule="auto"/>
      </w:pPr>
      <w:r>
        <w:separator/>
      </w:r>
    </w:p>
  </w:endnote>
  <w:endnote w:type="continuationSeparator" w:id="0">
    <w:p w14:paraId="4DC3AF6A" w14:textId="77777777" w:rsidR="0044199A" w:rsidRDefault="0044199A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B10F" w14:textId="395EF4C2" w:rsidR="00A417F7" w:rsidRDefault="00A417F7" w:rsidP="00A417F7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9C3C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4673" w14:textId="77777777" w:rsidR="0044199A" w:rsidRDefault="0044199A" w:rsidP="0044199A">
      <w:pPr>
        <w:spacing w:after="0" w:line="240" w:lineRule="auto"/>
      </w:pPr>
      <w:r>
        <w:separator/>
      </w:r>
    </w:p>
  </w:footnote>
  <w:footnote w:type="continuationSeparator" w:id="0">
    <w:p w14:paraId="15DF78B1" w14:textId="77777777" w:rsidR="0044199A" w:rsidRDefault="0044199A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576057AF" w:rsidR="0044199A" w:rsidRPr="0044199A" w:rsidRDefault="004C0605" w:rsidP="009C3CC8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4C0605">
            <w:rPr>
              <w:rFonts w:ascii="Calibri" w:eastAsia="Times New Roman" w:hAnsi="Calibri" w:cs="Times New Roman"/>
              <w:b/>
              <w:bCs/>
              <w:sz w:val="20"/>
              <w:szCs w:val="20"/>
              <w:lang w:val="et" w:eastAsia="et-EE"/>
            </w:rPr>
            <w:t xml:space="preserve">Eesti Mereakadeemia </w:t>
          </w:r>
          <w:r w:rsidR="009C3CC8">
            <w:rPr>
              <w:rFonts w:ascii="Calibri" w:eastAsia="Times New Roman" w:hAnsi="Calibri" w:cs="Times New Roman"/>
              <w:b/>
              <w:bCs/>
              <w:sz w:val="20"/>
              <w:szCs w:val="20"/>
              <w:lang w:val="et" w:eastAsia="et-EE"/>
            </w:rPr>
            <w:t>taristu</w:t>
          </w:r>
          <w:r w:rsidRPr="004C0605">
            <w:rPr>
              <w:rFonts w:ascii="Calibri" w:eastAsia="Times New Roman" w:hAnsi="Calibri" w:cs="Times New Roman"/>
              <w:b/>
              <w:bCs/>
              <w:sz w:val="20"/>
              <w:szCs w:val="20"/>
              <w:lang w:val="et" w:eastAsia="et-EE"/>
            </w:rPr>
            <w:t>keskuse tegevuse alused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02387ABB" w:rsidR="0044199A" w:rsidRPr="0044199A" w:rsidRDefault="009C3CC8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V1/6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29CD1FF9" w:rsidR="0044199A" w:rsidRPr="0044199A" w:rsidRDefault="009C3CC8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taristu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keskuse juhataja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622007E8" w:rsidR="0044199A" w:rsidRPr="0044199A" w:rsidRDefault="0044199A" w:rsidP="004C0605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direktori 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05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09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2022 korraldusega nr 1-24/253</w:t>
          </w:r>
        </w:p>
      </w:tc>
    </w:tr>
  </w:tbl>
  <w:p w14:paraId="2CB535A1" w14:textId="77777777" w:rsidR="0044199A" w:rsidRDefault="0044199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oen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82510BD"/>
    <w:multiLevelType w:val="multilevel"/>
    <w:tmpl w:val="4BB007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89999975">
    <w:abstractNumId w:val="0"/>
  </w:num>
  <w:num w:numId="2" w16cid:durableId="20329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31"/>
    <w:rsid w:val="002372C0"/>
    <w:rsid w:val="002803B3"/>
    <w:rsid w:val="0044199A"/>
    <w:rsid w:val="004C0605"/>
    <w:rsid w:val="00555431"/>
    <w:rsid w:val="00555515"/>
    <w:rsid w:val="0065459F"/>
    <w:rsid w:val="00706996"/>
    <w:rsid w:val="008963AA"/>
    <w:rsid w:val="009C3CC8"/>
    <w:rsid w:val="00A417F7"/>
    <w:rsid w:val="00A65C14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199A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199A"/>
  </w:style>
  <w:style w:type="paragraph" w:styleId="Jalus">
    <w:name w:val="footer"/>
    <w:basedOn w:val="Normaallaad"/>
    <w:link w:val="Jalu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199A"/>
  </w:style>
  <w:style w:type="paragraph" w:styleId="Loend">
    <w:name w:val="List"/>
    <w:basedOn w:val="Normaallaad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4C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Mereakadeemia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12</cp:revision>
  <dcterms:created xsi:type="dcterms:W3CDTF">2020-06-18T11:32:00Z</dcterms:created>
  <dcterms:modified xsi:type="dcterms:W3CDTF">2022-09-05T20:32:00Z</dcterms:modified>
</cp:coreProperties>
</file>