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4E4C" w14:textId="77777777" w:rsidR="006D0082" w:rsidRDefault="006D0082" w:rsidP="006D0082">
      <w:pPr>
        <w:pStyle w:val="Tallinn"/>
        <w:tabs>
          <w:tab w:val="left" w:pos="6237"/>
        </w:tabs>
        <w:jc w:val="right"/>
      </w:pPr>
      <w:r>
        <w:t>ALGTEKST-TERVIKTEKST</w:t>
      </w:r>
    </w:p>
    <w:p w14:paraId="699199AA" w14:textId="04CD7BF4" w:rsidR="00E7551A" w:rsidRDefault="006D0082" w:rsidP="00E7551A">
      <w:pPr>
        <w:pStyle w:val="Tallinn"/>
        <w:tabs>
          <w:tab w:val="left" w:pos="6237"/>
        </w:tabs>
      </w:pPr>
      <w:r>
        <w:t>Kinnitatud rektori 18.07.2022 käskkirjaga nr 33</w:t>
      </w:r>
    </w:p>
    <w:p w14:paraId="5A18F9B5" w14:textId="0B308C31" w:rsidR="006D0082" w:rsidRDefault="006D0082" w:rsidP="006D0082">
      <w:pPr>
        <w:pStyle w:val="BodyText"/>
      </w:pPr>
    </w:p>
    <w:p w14:paraId="607EFBCE" w14:textId="6326D876" w:rsidR="006D0082" w:rsidRPr="006D0082" w:rsidRDefault="006D0082" w:rsidP="006D0082">
      <w:pPr>
        <w:pStyle w:val="BodyText"/>
      </w:pPr>
      <w:r w:rsidRPr="006D0082">
        <w:t xml:space="preserve">Redaktsiooni jõustumise kuupäev: </w:t>
      </w:r>
      <w:r>
        <w:t>01.08.2022</w:t>
      </w:r>
      <w:bookmarkStart w:id="0" w:name="_GoBack"/>
      <w:bookmarkEnd w:id="0"/>
    </w:p>
    <w:p w14:paraId="6BAAB777" w14:textId="77777777" w:rsidR="006D0082" w:rsidRPr="006D0082" w:rsidRDefault="006D0082" w:rsidP="006D0082">
      <w:pPr>
        <w:pStyle w:val="BodyText"/>
      </w:pPr>
    </w:p>
    <w:p w14:paraId="20749C42" w14:textId="77777777" w:rsidR="006D0082" w:rsidRPr="006D0082" w:rsidRDefault="006D0082" w:rsidP="006D0082">
      <w:pPr>
        <w:pStyle w:val="BodyText"/>
      </w:pPr>
    </w:p>
    <w:p w14:paraId="699199AB" w14:textId="77777777" w:rsidR="00E7551A" w:rsidRPr="006D0082" w:rsidRDefault="001E625E" w:rsidP="006D0082">
      <w:pPr>
        <w:pStyle w:val="Pealkiri1"/>
        <w:spacing w:before="0" w:after="0"/>
        <w:ind w:right="0"/>
        <w:rPr>
          <w:b/>
        </w:rPr>
      </w:pPr>
      <w:r w:rsidRPr="006D0082">
        <w:rPr>
          <w:b/>
        </w:rPr>
        <w:t>Üldkulu eraldise ja hinnakujundamisel kasutatavate kaudsete kulude määrade kinnitamine</w:t>
      </w:r>
    </w:p>
    <w:p w14:paraId="46B64570" w14:textId="77777777" w:rsidR="006D0082" w:rsidRDefault="006D0082" w:rsidP="001E625E">
      <w:pPr>
        <w:pStyle w:val="Tekst"/>
      </w:pPr>
    </w:p>
    <w:p w14:paraId="699199AC" w14:textId="349B591C" w:rsidR="00E7551A" w:rsidRPr="007D4EB8" w:rsidRDefault="001E625E" w:rsidP="001E625E">
      <w:pPr>
        <w:pStyle w:val="Tekst"/>
      </w:pPr>
      <w:r w:rsidRPr="001E625E">
        <w:t xml:space="preserve">Tuginedes rektori </w:t>
      </w:r>
      <w:r w:rsidR="00DA4663" w:rsidRPr="00DA4663">
        <w:t xml:space="preserve">15.07.2022 </w:t>
      </w:r>
      <w:r w:rsidRPr="001E625E">
        <w:t xml:space="preserve">käskkirjaga </w:t>
      </w:r>
      <w:r w:rsidRPr="00DA4663">
        <w:t xml:space="preserve">nr </w:t>
      </w:r>
      <w:r w:rsidR="00DA4663" w:rsidRPr="00DA4663">
        <w:t xml:space="preserve">32 </w:t>
      </w:r>
      <w:r w:rsidRPr="00DA4663">
        <w:t>k</w:t>
      </w:r>
      <w:r w:rsidRPr="001E625E">
        <w:t>innitatud finantseeskirja punktile 6.4:</w:t>
      </w:r>
    </w:p>
    <w:p w14:paraId="699199AD" w14:textId="77777777" w:rsidR="001E625E" w:rsidRPr="007A337C" w:rsidRDefault="001E625E" w:rsidP="001E625E">
      <w:pPr>
        <w:pStyle w:val="Loetelu"/>
        <w:rPr>
          <w:rFonts w:cs="Calibri"/>
          <w:noProof/>
          <w:szCs w:val="22"/>
        </w:rPr>
      </w:pPr>
      <w:r w:rsidRPr="007A337C">
        <w:rPr>
          <w:rFonts w:cs="Calibri"/>
          <w:noProof/>
          <w:szCs w:val="22"/>
        </w:rPr>
        <w:t xml:space="preserve">Kinnitan üldfondidesse eraldatavate üldkulu eraldiste määrad järgnevalt: </w:t>
      </w:r>
    </w:p>
    <w:p w14:paraId="699199AE" w14:textId="77777777" w:rsidR="001E625E" w:rsidRPr="007A337C" w:rsidRDefault="001E625E" w:rsidP="001E625E">
      <w:pPr>
        <w:pStyle w:val="Bodyt"/>
        <w:spacing w:before="80"/>
        <w:rPr>
          <w:rFonts w:cs="Calibri"/>
          <w:noProof/>
        </w:rPr>
      </w:pPr>
      <w:r w:rsidRPr="007A337C">
        <w:rPr>
          <w:rFonts w:cs="Calibri"/>
          <w:noProof/>
        </w:rPr>
        <w:t xml:space="preserve">Lepingutelt ja sarnastelt kokkulepetelt on üldkulu eraldise määraks 15%, sh järgmistelt tuludelt: </w:t>
      </w:r>
    </w:p>
    <w:p w14:paraId="699199AF" w14:textId="77777777" w:rsidR="001E625E" w:rsidRPr="007A337C" w:rsidRDefault="001E625E" w:rsidP="001E625E">
      <w:pPr>
        <w:pStyle w:val="Bodyt"/>
        <w:numPr>
          <w:ilvl w:val="2"/>
          <w:numId w:val="4"/>
        </w:numPr>
        <w:rPr>
          <w:rFonts w:cs="Calibri"/>
          <w:noProof/>
        </w:rPr>
      </w:pPr>
      <w:r w:rsidRPr="007A337C">
        <w:rPr>
          <w:rFonts w:cs="Calibri"/>
          <w:noProof/>
        </w:rPr>
        <w:t>täiendusõppe teenustasud;</w:t>
      </w:r>
    </w:p>
    <w:p w14:paraId="699199B0" w14:textId="77777777" w:rsidR="001E625E" w:rsidRPr="007A337C" w:rsidRDefault="001E625E" w:rsidP="001E625E">
      <w:pPr>
        <w:pStyle w:val="Bodyt"/>
        <w:numPr>
          <w:ilvl w:val="2"/>
          <w:numId w:val="4"/>
        </w:numPr>
        <w:rPr>
          <w:rFonts w:cs="Calibri"/>
          <w:noProof/>
        </w:rPr>
      </w:pPr>
      <w:r w:rsidRPr="007A337C">
        <w:rPr>
          <w:rFonts w:cs="Calibri"/>
          <w:noProof/>
        </w:rPr>
        <w:t>muud õppetegevuse tulud, v.a ühisõppekavade raames läbiviidava õppetöö tulud;</w:t>
      </w:r>
    </w:p>
    <w:p w14:paraId="699199B1" w14:textId="77777777" w:rsidR="001E625E" w:rsidRPr="007A337C" w:rsidRDefault="001E625E" w:rsidP="001E625E">
      <w:pPr>
        <w:pStyle w:val="Bodyt"/>
        <w:numPr>
          <w:ilvl w:val="2"/>
          <w:numId w:val="4"/>
        </w:numPr>
        <w:rPr>
          <w:rFonts w:cs="Calibri"/>
        </w:rPr>
      </w:pPr>
      <w:r w:rsidRPr="007A337C">
        <w:rPr>
          <w:rFonts w:cs="Calibri"/>
        </w:rPr>
        <w:t xml:space="preserve">teadus- ja arendustegevuse </w:t>
      </w:r>
      <w:r w:rsidRPr="007A337C">
        <w:rPr>
          <w:rFonts w:cs="Calibri"/>
          <w:noProof/>
        </w:rPr>
        <w:t>teenus</w:t>
      </w:r>
      <w:r w:rsidRPr="007A337C">
        <w:rPr>
          <w:rFonts w:cs="Calibri"/>
        </w:rPr>
        <w:t xml:space="preserve">lepingute, ettevõtluslepingute ning teenustööde tulud; </w:t>
      </w:r>
    </w:p>
    <w:p w14:paraId="699199B2" w14:textId="77777777" w:rsidR="001E625E" w:rsidRPr="007A337C" w:rsidRDefault="001E625E" w:rsidP="001E625E">
      <w:pPr>
        <w:pStyle w:val="Bodyt"/>
        <w:numPr>
          <w:ilvl w:val="2"/>
          <w:numId w:val="4"/>
        </w:numPr>
        <w:rPr>
          <w:rFonts w:cs="Calibri"/>
          <w:noProof/>
        </w:rPr>
      </w:pPr>
      <w:r w:rsidRPr="007A337C">
        <w:rPr>
          <w:rFonts w:cs="Calibri"/>
        </w:rPr>
        <w:t>muud teadus- ja arendustegevusest tulud;</w:t>
      </w:r>
    </w:p>
    <w:p w14:paraId="699199B3" w14:textId="77777777" w:rsidR="001E625E" w:rsidRPr="007A337C" w:rsidRDefault="001E625E" w:rsidP="001E625E">
      <w:pPr>
        <w:pStyle w:val="Bodyt"/>
        <w:numPr>
          <w:ilvl w:val="2"/>
          <w:numId w:val="4"/>
        </w:numPr>
        <w:rPr>
          <w:rFonts w:cs="Calibri"/>
        </w:rPr>
      </w:pPr>
      <w:r w:rsidRPr="007A337C">
        <w:rPr>
          <w:rFonts w:cs="Calibri"/>
        </w:rPr>
        <w:t>tulud majandustegevusest ja muud tulud</w:t>
      </w:r>
      <w:r w:rsidR="00E3234C">
        <w:rPr>
          <w:rFonts w:cs="Calibri"/>
        </w:rPr>
        <w:t>;</w:t>
      </w:r>
    </w:p>
    <w:p w14:paraId="699199B4" w14:textId="77777777" w:rsidR="001E625E" w:rsidRPr="007A337C" w:rsidRDefault="001E625E" w:rsidP="001E625E">
      <w:pPr>
        <w:pStyle w:val="Bodyt"/>
        <w:numPr>
          <w:ilvl w:val="2"/>
          <w:numId w:val="4"/>
        </w:numPr>
        <w:rPr>
          <w:rFonts w:cs="Calibri"/>
        </w:rPr>
      </w:pPr>
      <w:r w:rsidRPr="007A337C">
        <w:rPr>
          <w:rFonts w:cs="Calibri"/>
        </w:rPr>
        <w:t>projektitoetused, sh uurimistoetused</w:t>
      </w:r>
      <w:bookmarkStart w:id="1" w:name="_Hlk108622713"/>
      <w:r w:rsidR="00E3234C">
        <w:rPr>
          <w:rFonts w:cs="Calibri"/>
        </w:rPr>
        <w:t>.</w:t>
      </w:r>
    </w:p>
    <w:bookmarkEnd w:id="1"/>
    <w:p w14:paraId="699199B5" w14:textId="77777777" w:rsidR="001E625E" w:rsidRPr="007A337C" w:rsidRDefault="001E625E" w:rsidP="001E625E">
      <w:pPr>
        <w:pStyle w:val="Bodyt"/>
        <w:spacing w:before="80"/>
        <w:rPr>
          <w:rFonts w:eastAsiaTheme="minorEastAsia" w:cs="Calibri"/>
        </w:rPr>
      </w:pPr>
      <w:r w:rsidRPr="007A337C">
        <w:rPr>
          <w:rFonts w:cs="Calibri"/>
        </w:rPr>
        <w:t xml:space="preserve">Üldkulu eraldis arvestatakse </w:t>
      </w:r>
      <w:proofErr w:type="spellStart"/>
      <w:r w:rsidRPr="007A337C">
        <w:rPr>
          <w:rFonts w:cs="Calibri"/>
        </w:rPr>
        <w:t>üldfondi</w:t>
      </w:r>
      <w:proofErr w:type="spellEnd"/>
      <w:r w:rsidRPr="007A337C">
        <w:rPr>
          <w:rFonts w:cs="Calibri"/>
        </w:rPr>
        <w:t xml:space="preserve"> tulude laekumisel.</w:t>
      </w:r>
    </w:p>
    <w:p w14:paraId="699199B6" w14:textId="77777777" w:rsidR="001E625E" w:rsidRPr="007A337C" w:rsidRDefault="001E625E" w:rsidP="001E625E">
      <w:pPr>
        <w:pStyle w:val="Bodyt"/>
        <w:spacing w:before="80"/>
        <w:rPr>
          <w:rFonts w:cs="Calibri"/>
        </w:rPr>
      </w:pPr>
      <w:r w:rsidRPr="007A337C">
        <w:rPr>
          <w:rFonts w:cs="Calibri"/>
        </w:rPr>
        <w:t>Projektitoetustelt</w:t>
      </w:r>
      <w:r w:rsidRPr="007A337C">
        <w:rPr>
          <w:rFonts w:cs="Calibri"/>
          <w:noProof/>
        </w:rPr>
        <w:t xml:space="preserve">, mille kohta on sõlmitud leping või tehtud haldusotsus mitte varem, kui 01.11.2015, arvestatakse üldkulu eraldis üldfondi vastavalt rahastaja kehtestatud määrale, kuid mitte rohkem kui 15% otsestest kuludest. Projektitoetusena käsitletakse muuhulgas valitsussektori sihtasutusega sõlmitud teenuslepingutest ja nende lepingute täitmiseks moodustatud konsortsiumite liikmetelt nimetatud lepingutega seonduvalt saadud rahalisi vahendeid, mille aluseks on perioodi 2014-2020 struktuuritoetuste seadus. Nimetatud lepingute täitmisel osaleb ülikool valitsusasutuse (rakendusasutus) õigusaktis sätestatu alusel ja teenusleping on vajalik avalikkusele ning ühiskonna arengule tervikuna suunatud projekti elluviimiseks. </w:t>
      </w:r>
    </w:p>
    <w:p w14:paraId="699199B7" w14:textId="77777777" w:rsidR="001E625E" w:rsidRPr="007A337C" w:rsidRDefault="001E625E" w:rsidP="001E625E">
      <w:pPr>
        <w:pStyle w:val="Bodyt"/>
        <w:spacing w:before="80"/>
        <w:rPr>
          <w:rFonts w:cs="Calibri"/>
          <w:noProof/>
        </w:rPr>
      </w:pPr>
      <w:r w:rsidRPr="007A337C">
        <w:rPr>
          <w:rFonts w:cs="Calibri"/>
          <w:noProof/>
        </w:rPr>
        <w:t>Projektitoetustelt arvestatakse üldkulu eraldis rahastaja poolsel kulude kinnitamisel ja partneritele edasikantavatelt toetustelt üldkulu eraldist ei arvestata.</w:t>
      </w:r>
    </w:p>
    <w:p w14:paraId="699199B8" w14:textId="77777777" w:rsidR="001E625E" w:rsidRPr="007A337C" w:rsidRDefault="001E625E" w:rsidP="001E625E">
      <w:pPr>
        <w:pStyle w:val="Bodyt"/>
        <w:spacing w:before="80"/>
        <w:rPr>
          <w:rFonts w:cs="Calibri"/>
          <w:noProof/>
        </w:rPr>
      </w:pPr>
      <w:r w:rsidRPr="007A337C">
        <w:rPr>
          <w:rFonts w:cs="Calibri"/>
          <w:noProof/>
        </w:rPr>
        <w:t xml:space="preserve">Toetuslepingutele kohaldatakse projektitoetuste kohta sätestatut. </w:t>
      </w:r>
    </w:p>
    <w:p w14:paraId="699199B9" w14:textId="77777777" w:rsidR="001E625E" w:rsidRPr="007A337C" w:rsidRDefault="001E625E" w:rsidP="001E625E">
      <w:pPr>
        <w:pStyle w:val="Bodyt"/>
        <w:spacing w:before="80"/>
        <w:rPr>
          <w:rFonts w:cs="Calibri"/>
          <w:noProof/>
        </w:rPr>
      </w:pPr>
      <w:r w:rsidRPr="007A337C">
        <w:rPr>
          <w:rFonts w:cs="Calibri"/>
          <w:noProof/>
        </w:rPr>
        <w:t xml:space="preserve">Projektitoetustelt on struktuuriüksusel õigus võtta kuni 10% määraga instituudi üldkulu eraldist, kui ülikooli üldkulu eraldis 15% on eelnevalt arvestatud ja eraldise maht ei lähe vastuollu rahastaja kehtestatud reeglitega. </w:t>
      </w:r>
    </w:p>
    <w:p w14:paraId="699199BA" w14:textId="77777777" w:rsidR="001E625E" w:rsidRPr="007A337C" w:rsidRDefault="001E625E" w:rsidP="001E625E">
      <w:pPr>
        <w:pStyle w:val="Bodyt"/>
        <w:spacing w:before="80"/>
        <w:rPr>
          <w:rFonts w:cs="Calibri"/>
          <w:noProof/>
        </w:rPr>
      </w:pPr>
      <w:r w:rsidRPr="007A337C">
        <w:rPr>
          <w:rFonts w:cs="Calibri"/>
          <w:noProof/>
        </w:rPr>
        <w:t>Üldkulu eraldise määr on 0%:</w:t>
      </w:r>
    </w:p>
    <w:p w14:paraId="699199BB" w14:textId="77777777" w:rsidR="001E625E" w:rsidRPr="007A337C" w:rsidRDefault="001E625E" w:rsidP="001E625E">
      <w:pPr>
        <w:pStyle w:val="Bodyt"/>
        <w:numPr>
          <w:ilvl w:val="2"/>
          <w:numId w:val="4"/>
        </w:numPr>
        <w:ind w:left="284" w:hanging="284"/>
        <w:rPr>
          <w:rFonts w:cs="Calibri"/>
          <w:noProof/>
        </w:rPr>
      </w:pPr>
      <w:r w:rsidRPr="007A337C">
        <w:rPr>
          <w:rFonts w:cs="Calibri"/>
          <w:noProof/>
        </w:rPr>
        <w:t>sisearveldustelt;</w:t>
      </w:r>
    </w:p>
    <w:p w14:paraId="699199BC" w14:textId="77777777" w:rsidR="001E625E" w:rsidRPr="007A337C" w:rsidRDefault="001E625E" w:rsidP="001E625E">
      <w:pPr>
        <w:pStyle w:val="Bodyt"/>
        <w:numPr>
          <w:ilvl w:val="2"/>
          <w:numId w:val="4"/>
        </w:numPr>
        <w:ind w:left="284" w:hanging="284"/>
        <w:rPr>
          <w:rFonts w:cs="Calibri"/>
          <w:noProof/>
        </w:rPr>
      </w:pPr>
      <w:r w:rsidRPr="007A337C">
        <w:rPr>
          <w:rFonts w:cs="Calibri"/>
          <w:noProof/>
        </w:rPr>
        <w:t>kulude kompenseerimise laekumistelt;</w:t>
      </w:r>
    </w:p>
    <w:p w14:paraId="699199BD" w14:textId="77777777" w:rsidR="001E625E" w:rsidRPr="007A337C" w:rsidRDefault="001E625E" w:rsidP="001E625E">
      <w:pPr>
        <w:pStyle w:val="Bodyt"/>
        <w:numPr>
          <w:ilvl w:val="2"/>
          <w:numId w:val="4"/>
        </w:numPr>
        <w:ind w:left="284" w:hanging="284"/>
        <w:rPr>
          <w:rFonts w:cs="Calibri"/>
          <w:noProof/>
          <w:color w:val="000000" w:themeColor="text1"/>
        </w:rPr>
      </w:pPr>
      <w:r w:rsidRPr="007A337C">
        <w:rPr>
          <w:rFonts w:cs="Calibri"/>
          <w:noProof/>
          <w:color w:val="000000" w:themeColor="text1"/>
        </w:rPr>
        <w:t>ülikooli korraldatavate konverentside osavõtumaksudelt;</w:t>
      </w:r>
    </w:p>
    <w:p w14:paraId="699199BE" w14:textId="77777777" w:rsidR="001E625E" w:rsidRPr="007A337C" w:rsidRDefault="001E625E" w:rsidP="001E625E">
      <w:pPr>
        <w:pStyle w:val="Bodyt"/>
        <w:numPr>
          <w:ilvl w:val="2"/>
          <w:numId w:val="4"/>
        </w:numPr>
        <w:ind w:left="284" w:hanging="284"/>
        <w:rPr>
          <w:rFonts w:cs="Calibri"/>
          <w:noProof/>
          <w:color w:val="000000" w:themeColor="text1"/>
        </w:rPr>
      </w:pPr>
      <w:r w:rsidRPr="007A337C">
        <w:rPr>
          <w:rFonts w:cs="Calibri"/>
          <w:noProof/>
          <w:color w:val="000000" w:themeColor="text1"/>
        </w:rPr>
        <w:t>raamatute müügi tulult;</w:t>
      </w:r>
    </w:p>
    <w:p w14:paraId="699199BF" w14:textId="77777777" w:rsidR="001E625E" w:rsidRPr="007A337C" w:rsidRDefault="001E625E" w:rsidP="001E625E">
      <w:pPr>
        <w:pStyle w:val="Bodyt"/>
        <w:numPr>
          <w:ilvl w:val="2"/>
          <w:numId w:val="4"/>
        </w:numPr>
        <w:ind w:left="284" w:hanging="284"/>
        <w:rPr>
          <w:rFonts w:cs="Calibri"/>
          <w:noProof/>
        </w:rPr>
      </w:pPr>
      <w:r w:rsidRPr="007A337C">
        <w:rPr>
          <w:rFonts w:cs="Calibri"/>
          <w:noProof/>
        </w:rPr>
        <w:t>kapitalieelarve laekumistelt;</w:t>
      </w:r>
    </w:p>
    <w:p w14:paraId="699199C0" w14:textId="77777777" w:rsidR="001E625E" w:rsidRDefault="001E625E" w:rsidP="001E625E">
      <w:pPr>
        <w:pStyle w:val="Bodyt"/>
        <w:numPr>
          <w:ilvl w:val="2"/>
          <w:numId w:val="4"/>
        </w:numPr>
        <w:ind w:left="284" w:hanging="284"/>
        <w:rPr>
          <w:rFonts w:cs="Calibri"/>
          <w:noProof/>
        </w:rPr>
      </w:pPr>
      <w:r w:rsidRPr="007A337C">
        <w:rPr>
          <w:rFonts w:cs="Calibri"/>
          <w:noProof/>
        </w:rPr>
        <w:t>annetustelt.</w:t>
      </w:r>
    </w:p>
    <w:p w14:paraId="699199C3" w14:textId="77777777" w:rsidR="001E625E" w:rsidRPr="007A337C" w:rsidRDefault="001E625E" w:rsidP="006D0082">
      <w:pPr>
        <w:pStyle w:val="Bodyt"/>
        <w:spacing w:before="80"/>
        <w:rPr>
          <w:rFonts w:cs="Calibri"/>
          <w:noProof/>
        </w:rPr>
      </w:pPr>
      <w:r w:rsidRPr="007A337C">
        <w:rPr>
          <w:rFonts w:cs="Calibri"/>
          <w:noProof/>
        </w:rPr>
        <w:t>Tasemeõppe õppeteenustasudelt võetakse eraldist 35%, mis suunatakse otse tugistruktuuri üksuste eelarve täitmiseks (s.t. mitte üldfondi)</w:t>
      </w:r>
      <w:r w:rsidR="00934C50">
        <w:rPr>
          <w:rFonts w:cs="Calibri"/>
          <w:noProof/>
        </w:rPr>
        <w:t>.</w:t>
      </w:r>
    </w:p>
    <w:p w14:paraId="699199C4" w14:textId="77777777" w:rsidR="001E625E" w:rsidRPr="007A337C" w:rsidRDefault="001E625E" w:rsidP="006D0082">
      <w:pPr>
        <w:pStyle w:val="Bodyt"/>
        <w:spacing w:before="80"/>
        <w:rPr>
          <w:rFonts w:cs="Calibri"/>
          <w:noProof/>
        </w:rPr>
      </w:pPr>
      <w:r w:rsidRPr="007A337C">
        <w:rPr>
          <w:rFonts w:cs="Calibri"/>
          <w:noProof/>
        </w:rPr>
        <w:t>Kui lepingu täitmisel kasutatakse allhanget, arvestatakse üldkulu eraldist ülikooli täidetud lepingu osalt punktis 1.1 nimetatud määras ning allhankelt võib eraldist arvestada alltoodud tabelis esitatud määras.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4792"/>
      </w:tblGrid>
      <w:tr w:rsidR="001E625E" w:rsidRPr="007A337C" w14:paraId="699199C7" w14:textId="77777777" w:rsidTr="00F77482">
        <w:trPr>
          <w:trHeight w:val="266"/>
        </w:trPr>
        <w:tc>
          <w:tcPr>
            <w:tcW w:w="3630" w:type="dxa"/>
          </w:tcPr>
          <w:p w14:paraId="699199C5" w14:textId="77777777" w:rsidR="001E625E" w:rsidRPr="007A337C" w:rsidRDefault="001E625E" w:rsidP="001E625E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Allhanke maht põhilepingust </w:t>
            </w:r>
          </w:p>
        </w:tc>
        <w:tc>
          <w:tcPr>
            <w:tcW w:w="4792" w:type="dxa"/>
          </w:tcPr>
          <w:p w14:paraId="699199C6" w14:textId="77777777" w:rsidR="001E625E" w:rsidRPr="007A337C" w:rsidRDefault="001E625E" w:rsidP="001E625E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b/>
                <w:noProof/>
                <w:sz w:val="22"/>
                <w:szCs w:val="22"/>
              </w:rPr>
              <w:t>Üldkulu eraldise määr</w:t>
            </w:r>
          </w:p>
        </w:tc>
      </w:tr>
      <w:tr w:rsidR="001E625E" w:rsidRPr="007A337C" w14:paraId="699199CA" w14:textId="77777777" w:rsidTr="00F77482">
        <w:trPr>
          <w:trHeight w:val="266"/>
        </w:trPr>
        <w:tc>
          <w:tcPr>
            <w:tcW w:w="3630" w:type="dxa"/>
          </w:tcPr>
          <w:p w14:paraId="699199C8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20-25%</w:t>
            </w:r>
          </w:p>
        </w:tc>
        <w:tc>
          <w:tcPr>
            <w:tcW w:w="4792" w:type="dxa"/>
          </w:tcPr>
          <w:p w14:paraId="699199C9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14%</w:t>
            </w:r>
          </w:p>
        </w:tc>
      </w:tr>
      <w:tr w:rsidR="001E625E" w:rsidRPr="007A337C" w14:paraId="699199CD" w14:textId="77777777" w:rsidTr="00F77482">
        <w:trPr>
          <w:trHeight w:val="278"/>
        </w:trPr>
        <w:tc>
          <w:tcPr>
            <w:tcW w:w="3630" w:type="dxa"/>
          </w:tcPr>
          <w:p w14:paraId="699199CB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26-30%</w:t>
            </w:r>
          </w:p>
        </w:tc>
        <w:tc>
          <w:tcPr>
            <w:tcW w:w="4792" w:type="dxa"/>
          </w:tcPr>
          <w:p w14:paraId="699199CC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12,5%</w:t>
            </w:r>
          </w:p>
        </w:tc>
      </w:tr>
      <w:tr w:rsidR="001E625E" w:rsidRPr="007A337C" w14:paraId="699199D0" w14:textId="77777777" w:rsidTr="00F77482">
        <w:trPr>
          <w:trHeight w:val="266"/>
        </w:trPr>
        <w:tc>
          <w:tcPr>
            <w:tcW w:w="3630" w:type="dxa"/>
          </w:tcPr>
          <w:p w14:paraId="699199CE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31-35%</w:t>
            </w:r>
          </w:p>
        </w:tc>
        <w:tc>
          <w:tcPr>
            <w:tcW w:w="4792" w:type="dxa"/>
          </w:tcPr>
          <w:p w14:paraId="699199CF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11%</w:t>
            </w:r>
          </w:p>
        </w:tc>
      </w:tr>
      <w:tr w:rsidR="001E625E" w:rsidRPr="007A337C" w14:paraId="699199D3" w14:textId="77777777" w:rsidTr="00F77482">
        <w:trPr>
          <w:trHeight w:val="266"/>
        </w:trPr>
        <w:tc>
          <w:tcPr>
            <w:tcW w:w="3630" w:type="dxa"/>
          </w:tcPr>
          <w:p w14:paraId="699199D1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36-40%</w:t>
            </w:r>
          </w:p>
        </w:tc>
        <w:tc>
          <w:tcPr>
            <w:tcW w:w="4792" w:type="dxa"/>
          </w:tcPr>
          <w:p w14:paraId="699199D2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9,5%</w:t>
            </w:r>
          </w:p>
        </w:tc>
      </w:tr>
      <w:tr w:rsidR="001E625E" w:rsidRPr="007A337C" w14:paraId="699199D6" w14:textId="77777777" w:rsidTr="00F77482">
        <w:trPr>
          <w:trHeight w:val="266"/>
        </w:trPr>
        <w:tc>
          <w:tcPr>
            <w:tcW w:w="3630" w:type="dxa"/>
          </w:tcPr>
          <w:p w14:paraId="699199D4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41-45%</w:t>
            </w:r>
          </w:p>
        </w:tc>
        <w:tc>
          <w:tcPr>
            <w:tcW w:w="4792" w:type="dxa"/>
          </w:tcPr>
          <w:p w14:paraId="699199D5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8%</w:t>
            </w:r>
          </w:p>
        </w:tc>
      </w:tr>
      <w:tr w:rsidR="001E625E" w:rsidRPr="007A337C" w14:paraId="699199D9" w14:textId="77777777" w:rsidTr="00F77482">
        <w:trPr>
          <w:trHeight w:val="266"/>
        </w:trPr>
        <w:tc>
          <w:tcPr>
            <w:tcW w:w="3630" w:type="dxa"/>
          </w:tcPr>
          <w:p w14:paraId="699199D7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46-50%</w:t>
            </w:r>
          </w:p>
        </w:tc>
        <w:tc>
          <w:tcPr>
            <w:tcW w:w="4792" w:type="dxa"/>
          </w:tcPr>
          <w:p w14:paraId="699199D8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6,5%</w:t>
            </w:r>
          </w:p>
        </w:tc>
      </w:tr>
      <w:tr w:rsidR="001E625E" w:rsidRPr="007A337C" w14:paraId="699199DC" w14:textId="77777777" w:rsidTr="00F77482">
        <w:trPr>
          <w:trHeight w:val="278"/>
        </w:trPr>
        <w:tc>
          <w:tcPr>
            <w:tcW w:w="3630" w:type="dxa"/>
          </w:tcPr>
          <w:p w14:paraId="699199DA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51-70%</w:t>
            </w:r>
          </w:p>
        </w:tc>
        <w:tc>
          <w:tcPr>
            <w:tcW w:w="4792" w:type="dxa"/>
          </w:tcPr>
          <w:p w14:paraId="699199DB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5%</w:t>
            </w:r>
          </w:p>
        </w:tc>
      </w:tr>
      <w:tr w:rsidR="001E625E" w:rsidRPr="007A337C" w14:paraId="699199DF" w14:textId="77777777" w:rsidTr="00F77482">
        <w:trPr>
          <w:trHeight w:val="306"/>
        </w:trPr>
        <w:tc>
          <w:tcPr>
            <w:tcW w:w="3630" w:type="dxa"/>
          </w:tcPr>
          <w:p w14:paraId="699199DD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>Üle 70% või üle 100 000 euro</w:t>
            </w:r>
          </w:p>
        </w:tc>
        <w:tc>
          <w:tcPr>
            <w:tcW w:w="4792" w:type="dxa"/>
          </w:tcPr>
          <w:p w14:paraId="699199DE" w14:textId="77777777" w:rsidR="001E625E" w:rsidRPr="007A337C" w:rsidRDefault="001E625E" w:rsidP="001E625E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7A337C">
              <w:rPr>
                <w:rFonts w:ascii="Calibri" w:hAnsi="Calibri" w:cs="Calibri"/>
                <w:noProof/>
                <w:sz w:val="22"/>
                <w:szCs w:val="22"/>
              </w:rPr>
              <w:t xml:space="preserve">Finantsjuhi otsuse alusel </w:t>
            </w:r>
          </w:p>
        </w:tc>
      </w:tr>
    </w:tbl>
    <w:p w14:paraId="699199E0" w14:textId="77777777" w:rsidR="001E625E" w:rsidRPr="007A337C" w:rsidRDefault="001E625E" w:rsidP="001E625E">
      <w:pPr>
        <w:pStyle w:val="Bodyt"/>
        <w:spacing w:before="80"/>
        <w:rPr>
          <w:rFonts w:cs="Calibri"/>
          <w:noProof/>
        </w:rPr>
      </w:pPr>
      <w:r w:rsidRPr="007A337C">
        <w:rPr>
          <w:rFonts w:cs="Calibri"/>
          <w:noProof/>
        </w:rPr>
        <w:lastRenderedPageBreak/>
        <w:t xml:space="preserve">Allhanke üldkulu eraldise määra rakendamiseks esitab struktuuriüksus rahandusosakonnale allhankelepingu ning taotluse üldkulu eraldise tagasikande tegemiseks. </w:t>
      </w:r>
    </w:p>
    <w:p w14:paraId="699199E1" w14:textId="77777777" w:rsidR="001E625E" w:rsidRPr="007A337C" w:rsidRDefault="001E625E" w:rsidP="001E625E">
      <w:pPr>
        <w:pStyle w:val="Bodyt"/>
        <w:rPr>
          <w:rFonts w:cs="Calibri"/>
          <w:noProof/>
        </w:rPr>
      </w:pPr>
      <w:r w:rsidRPr="007A337C">
        <w:rPr>
          <w:rFonts w:cs="Calibri"/>
          <w:noProof/>
        </w:rPr>
        <w:t xml:space="preserve">Targa linna tippkeskuse lepingutelt ja kokkulepetelt on üldkulu eraldise määraks 1/3 üldfondi eraldise määrast (allakirjutamise ajal 5%). </w:t>
      </w:r>
    </w:p>
    <w:p w14:paraId="699199E2" w14:textId="77777777" w:rsidR="001E625E" w:rsidRPr="007A337C" w:rsidRDefault="001E625E" w:rsidP="001E625E">
      <w:pPr>
        <w:pStyle w:val="Bodyt"/>
        <w:rPr>
          <w:rFonts w:cs="Calibri"/>
          <w:noProof/>
        </w:rPr>
      </w:pPr>
      <w:r w:rsidRPr="007A337C">
        <w:rPr>
          <w:rFonts w:cs="Calibri"/>
          <w:noProof/>
        </w:rPr>
        <w:t>AIRE EDIH projekti Digitaalse Euroopa programmi sihtfinantseeritavatelt toetustelt on üldkulu eraldise määraks 1/2 üldfondi eraldise määrast (allakirjutamise ajal 3,5%).</w:t>
      </w:r>
    </w:p>
    <w:p w14:paraId="699199E3" w14:textId="77777777" w:rsidR="001E625E" w:rsidRPr="007A337C" w:rsidRDefault="001E625E" w:rsidP="001E625E">
      <w:pPr>
        <w:pStyle w:val="Bodyt"/>
        <w:rPr>
          <w:rFonts w:cs="Calibri"/>
          <w:noProof/>
        </w:rPr>
      </w:pPr>
      <w:r w:rsidRPr="007A337C">
        <w:rPr>
          <w:rFonts w:cs="Calibri"/>
          <w:noProof/>
        </w:rPr>
        <w:t xml:space="preserve">Erandeid üldkulu eraldiste määradele on võimalik taotleda, kui projekti kogumaht ilma vahendatavate toetusteta on üle 1 miljoni euro, projekt on ülikoolile strateegilise tähtsusega ja erandi taotlemine toimub enne rahastajale taotluse esitamist. </w:t>
      </w:r>
    </w:p>
    <w:p w14:paraId="699199E4" w14:textId="77777777" w:rsidR="001E625E" w:rsidRPr="007A337C" w:rsidRDefault="001E625E" w:rsidP="001E625E">
      <w:pPr>
        <w:pStyle w:val="Loetelu"/>
        <w:rPr>
          <w:rFonts w:cs="Calibri"/>
          <w:szCs w:val="22"/>
        </w:rPr>
      </w:pPr>
      <w:r w:rsidRPr="007A337C">
        <w:rPr>
          <w:rFonts w:cs="Calibri"/>
          <w:szCs w:val="22"/>
        </w:rPr>
        <w:t xml:space="preserve">Teenuste või tehtavate tööde (punktis 1.1 nimetatud tulud) hinnakujundamisel rakendatakse esmalt hinna kalkuleerimisel tehtavatele otsestele kuludele arvestuslikud kaudsed kulud, mille summa kalkuleeritakse lähtudes konkreetsest teenusest või tööst ja </w:t>
      </w:r>
      <w:r w:rsidRPr="007A337C">
        <w:rPr>
          <w:rFonts w:cs="Calibri"/>
          <w:noProof/>
          <w:szCs w:val="22"/>
        </w:rPr>
        <w:t>finantseeskirja punktis 22 sätestatust</w:t>
      </w:r>
      <w:r w:rsidRPr="007A337C">
        <w:rPr>
          <w:rFonts w:cs="Calibri"/>
          <w:szCs w:val="22"/>
        </w:rPr>
        <w:t xml:space="preserve">. </w:t>
      </w:r>
    </w:p>
    <w:p w14:paraId="699199E5" w14:textId="77777777" w:rsidR="001E625E" w:rsidRPr="007A337C" w:rsidRDefault="001E625E" w:rsidP="001E625E">
      <w:pPr>
        <w:pStyle w:val="Loetelu"/>
        <w:rPr>
          <w:rFonts w:cs="Calibri"/>
          <w:noProof/>
          <w:szCs w:val="22"/>
        </w:rPr>
      </w:pPr>
      <w:r w:rsidRPr="007A337C">
        <w:rPr>
          <w:rFonts w:cs="Calibri"/>
          <w:noProof/>
          <w:szCs w:val="22"/>
        </w:rPr>
        <w:t xml:space="preserve">Teenuste hind peab sisaldama kaudseid kulusid määras, mis katab vähemalt üldkulu eraldise. </w:t>
      </w:r>
    </w:p>
    <w:p w14:paraId="699199E6" w14:textId="77777777" w:rsidR="001E625E" w:rsidRPr="007A337C" w:rsidRDefault="001E625E" w:rsidP="001E625E">
      <w:pPr>
        <w:pStyle w:val="Loetelu"/>
        <w:rPr>
          <w:rFonts w:cs="Calibri"/>
          <w:noProof/>
          <w:szCs w:val="22"/>
        </w:rPr>
      </w:pPr>
      <w:r w:rsidRPr="007A337C">
        <w:rPr>
          <w:rFonts w:cs="Calibri"/>
          <w:noProof/>
          <w:szCs w:val="22"/>
        </w:rPr>
        <w:t>Tunnistan kehtetuks rektori 24.10.2016 käskkirja nr 156 „</w:t>
      </w:r>
      <w:r w:rsidRPr="007A337C">
        <w:rPr>
          <w:rFonts w:cs="Calibri"/>
          <w:noProof/>
          <w:szCs w:val="22"/>
          <w:lang w:val="en-GB"/>
        </w:rPr>
        <w:t>Üldkulu eraldise ja hinnakujundamisel kasutatavate kaudsete kulude määrade kinnitamine</w:t>
      </w:r>
      <w:r w:rsidRPr="007A337C">
        <w:rPr>
          <w:rFonts w:cs="Calibri"/>
          <w:noProof/>
          <w:szCs w:val="22"/>
        </w:rPr>
        <w:t>“.</w:t>
      </w:r>
    </w:p>
    <w:p w14:paraId="699199E7" w14:textId="77777777" w:rsidR="001E625E" w:rsidRPr="00982AAC" w:rsidRDefault="001E625E" w:rsidP="00982AAC">
      <w:pPr>
        <w:pStyle w:val="Loetelu"/>
        <w:rPr>
          <w:rFonts w:cs="Calibri"/>
          <w:szCs w:val="22"/>
        </w:rPr>
      </w:pPr>
      <w:r w:rsidRPr="007A337C">
        <w:rPr>
          <w:rFonts w:cs="Calibri"/>
          <w:szCs w:val="22"/>
        </w:rPr>
        <w:t>Käskkiri jõustub 01.</w:t>
      </w:r>
      <w:r w:rsidR="00982AAC">
        <w:rPr>
          <w:rFonts w:cs="Calibri"/>
          <w:szCs w:val="22"/>
        </w:rPr>
        <w:t xml:space="preserve"> </w:t>
      </w:r>
      <w:r w:rsidRPr="007A337C">
        <w:rPr>
          <w:rFonts w:cs="Calibri"/>
          <w:szCs w:val="22"/>
        </w:rPr>
        <w:t>augustil 2022.</w:t>
      </w:r>
    </w:p>
    <w:p w14:paraId="699199EB" w14:textId="77777777"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99F2" w14:textId="77777777" w:rsidR="001E625E" w:rsidRDefault="001E625E">
      <w:r>
        <w:separator/>
      </w:r>
    </w:p>
  </w:endnote>
  <w:endnote w:type="continuationSeparator" w:id="0">
    <w:p w14:paraId="699199F3" w14:textId="77777777" w:rsidR="001E625E" w:rsidRDefault="001E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99F0" w14:textId="77777777" w:rsidR="001E625E" w:rsidRDefault="001E625E">
      <w:r>
        <w:separator/>
      </w:r>
    </w:p>
  </w:footnote>
  <w:footnote w:type="continuationSeparator" w:id="0">
    <w:p w14:paraId="699199F1" w14:textId="77777777" w:rsidR="001E625E" w:rsidRDefault="001E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199F4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199F5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14:paraId="699199F6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5E"/>
    <w:rsid w:val="000033B8"/>
    <w:rsid w:val="00005AB4"/>
    <w:rsid w:val="000C2A14"/>
    <w:rsid w:val="001469C5"/>
    <w:rsid w:val="0015159C"/>
    <w:rsid w:val="00166714"/>
    <w:rsid w:val="00191C92"/>
    <w:rsid w:val="00197DF0"/>
    <w:rsid w:val="001A48DE"/>
    <w:rsid w:val="001E625E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F4CFD"/>
    <w:rsid w:val="002F539C"/>
    <w:rsid w:val="003111FD"/>
    <w:rsid w:val="003903EA"/>
    <w:rsid w:val="003A5175"/>
    <w:rsid w:val="003B1E0E"/>
    <w:rsid w:val="003B3D76"/>
    <w:rsid w:val="003B5D1F"/>
    <w:rsid w:val="003E47C5"/>
    <w:rsid w:val="003E79CA"/>
    <w:rsid w:val="003F6316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604B2"/>
    <w:rsid w:val="00675987"/>
    <w:rsid w:val="006779E5"/>
    <w:rsid w:val="006A6A39"/>
    <w:rsid w:val="006B325A"/>
    <w:rsid w:val="006D0082"/>
    <w:rsid w:val="006D753A"/>
    <w:rsid w:val="006E287D"/>
    <w:rsid w:val="007402B4"/>
    <w:rsid w:val="00780A0D"/>
    <w:rsid w:val="00795AF6"/>
    <w:rsid w:val="007A4F68"/>
    <w:rsid w:val="007D4EB8"/>
    <w:rsid w:val="00800B6E"/>
    <w:rsid w:val="00821FA5"/>
    <w:rsid w:val="00844750"/>
    <w:rsid w:val="008B6D49"/>
    <w:rsid w:val="008D2DCA"/>
    <w:rsid w:val="008D3687"/>
    <w:rsid w:val="008F28A4"/>
    <w:rsid w:val="00934C50"/>
    <w:rsid w:val="009539DD"/>
    <w:rsid w:val="009545D3"/>
    <w:rsid w:val="00982AAC"/>
    <w:rsid w:val="009B179C"/>
    <w:rsid w:val="009B5254"/>
    <w:rsid w:val="009D638A"/>
    <w:rsid w:val="009E47B5"/>
    <w:rsid w:val="009F71F0"/>
    <w:rsid w:val="00A03E2A"/>
    <w:rsid w:val="00A51164"/>
    <w:rsid w:val="00A6532D"/>
    <w:rsid w:val="00A80116"/>
    <w:rsid w:val="00A80EC2"/>
    <w:rsid w:val="00A86954"/>
    <w:rsid w:val="00AB7B24"/>
    <w:rsid w:val="00AD5469"/>
    <w:rsid w:val="00AF673B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2E9C"/>
    <w:rsid w:val="00D26F57"/>
    <w:rsid w:val="00D43664"/>
    <w:rsid w:val="00D50919"/>
    <w:rsid w:val="00D82B72"/>
    <w:rsid w:val="00D9452F"/>
    <w:rsid w:val="00DA4663"/>
    <w:rsid w:val="00DD10D0"/>
    <w:rsid w:val="00E00818"/>
    <w:rsid w:val="00E24674"/>
    <w:rsid w:val="00E3234C"/>
    <w:rsid w:val="00E33B87"/>
    <w:rsid w:val="00E44CAE"/>
    <w:rsid w:val="00E47576"/>
    <w:rsid w:val="00E51D5F"/>
    <w:rsid w:val="00E66704"/>
    <w:rsid w:val="00E7551A"/>
    <w:rsid w:val="00E8728E"/>
    <w:rsid w:val="00E94E83"/>
    <w:rsid w:val="00E969F6"/>
    <w:rsid w:val="00EA7DD5"/>
    <w:rsid w:val="00EB0250"/>
    <w:rsid w:val="00ED183F"/>
    <w:rsid w:val="00ED638D"/>
    <w:rsid w:val="00EE150D"/>
    <w:rsid w:val="00F06F8D"/>
    <w:rsid w:val="00F44F64"/>
    <w:rsid w:val="00F46FA9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99199A2"/>
  <w15:docId w15:val="{6939DEAA-FBBF-4C13-B152-28F8483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customStyle="1" w:styleId="Default">
    <w:name w:val="Default"/>
    <w:rsid w:val="001E62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1E625E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Inkeri Treial</dc:creator>
  <cp:keywords/>
  <dc:description/>
  <cp:lastModifiedBy>Kairi Schütz</cp:lastModifiedBy>
  <cp:revision>3</cp:revision>
  <cp:lastPrinted>2002-08-26T08:36:00Z</cp:lastPrinted>
  <dcterms:created xsi:type="dcterms:W3CDTF">2022-07-18T11:12:00Z</dcterms:created>
  <dcterms:modified xsi:type="dcterms:W3CDTF">2022-07-18T11:16:00Z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