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034F" w14:textId="77777777" w:rsidR="008C5C24" w:rsidRDefault="008C5C24" w:rsidP="008C5C24">
      <w:pPr>
        <w:tabs>
          <w:tab w:val="left" w:pos="6521"/>
        </w:tabs>
        <w:jc w:val="right"/>
      </w:pPr>
      <w:r>
        <w:t>ALGTEKST-TERVIKTEKST</w:t>
      </w:r>
    </w:p>
    <w:p w14:paraId="307B1815" w14:textId="1FF7422B" w:rsidR="00CC111C" w:rsidRPr="00CC111C" w:rsidRDefault="008C5C24" w:rsidP="008C5C24">
      <w:pPr>
        <w:tabs>
          <w:tab w:val="left" w:pos="6521"/>
        </w:tabs>
      </w:pPr>
      <w:r>
        <w:t xml:space="preserve">Kinnitatud  </w:t>
      </w:r>
      <w:r w:rsidR="00CC111C" w:rsidRPr="00CC111C">
        <w:t xml:space="preserve">rektori </w:t>
      </w:r>
      <w:r w:rsidR="00CC111C" w:rsidRPr="00CC111C">
        <w:fldChar w:fldCharType="begin"/>
      </w:r>
      <w:r w:rsidR="00C00604">
        <w:instrText xml:space="preserve"> delta_regDateTime</w:instrText>
      </w:r>
      <w:r w:rsidR="00CC111C" w:rsidRPr="00CC111C">
        <w:fldChar w:fldCharType="separate"/>
      </w:r>
      <w:r w:rsidR="00C00604">
        <w:t>22.07.2022</w:t>
      </w:r>
      <w:r w:rsidR="00CC111C" w:rsidRPr="00CC111C">
        <w:fldChar w:fldCharType="end"/>
      </w:r>
      <w:r>
        <w:t xml:space="preserve"> </w:t>
      </w:r>
      <w:r w:rsidR="00CC111C" w:rsidRPr="00CC111C">
        <w:t xml:space="preserve">käskkirjaga nr </w:t>
      </w:r>
      <w:r>
        <w:t>34</w:t>
      </w:r>
    </w:p>
    <w:p w14:paraId="7D57B8BD" w14:textId="51D71708" w:rsidR="00CC111C" w:rsidRDefault="00CC111C" w:rsidP="008C5C24">
      <w:pPr>
        <w:spacing w:after="160" w:line="259" w:lineRule="auto"/>
        <w:rPr>
          <w:rFonts w:eastAsia="Calibri"/>
          <w:szCs w:val="22"/>
          <w:lang w:eastAsia="en-US"/>
        </w:rPr>
      </w:pPr>
    </w:p>
    <w:p w14:paraId="439B7216" w14:textId="238F2342" w:rsidR="008C5C24" w:rsidRDefault="008C5C24" w:rsidP="008C5C24">
      <w:pPr>
        <w:spacing w:after="160" w:line="259" w:lineRule="auto"/>
        <w:rPr>
          <w:rFonts w:eastAsia="Calibri"/>
          <w:szCs w:val="22"/>
          <w:lang w:eastAsia="en-US"/>
        </w:rPr>
      </w:pPr>
      <w:r w:rsidRPr="008C5C24">
        <w:rPr>
          <w:rFonts w:eastAsia="Calibri"/>
          <w:szCs w:val="22"/>
          <w:lang w:eastAsia="en-US"/>
        </w:rPr>
        <w:t xml:space="preserve">Redaktsiooni jõustumise kuupäev: </w:t>
      </w:r>
      <w:r>
        <w:rPr>
          <w:rFonts w:eastAsia="Calibri"/>
          <w:szCs w:val="22"/>
          <w:lang w:eastAsia="en-US"/>
        </w:rPr>
        <w:t>01.08.2022</w:t>
      </w:r>
      <w:bookmarkStart w:id="0" w:name="_GoBack"/>
      <w:bookmarkEnd w:id="0"/>
    </w:p>
    <w:p w14:paraId="4092D063" w14:textId="77777777" w:rsidR="008C5C24" w:rsidRPr="00CC111C" w:rsidRDefault="008C5C24" w:rsidP="008C5C24">
      <w:pPr>
        <w:spacing w:after="160" w:line="259" w:lineRule="auto"/>
        <w:rPr>
          <w:rFonts w:eastAsia="Calibri"/>
          <w:szCs w:val="22"/>
          <w:lang w:eastAsia="en-US"/>
        </w:rPr>
      </w:pPr>
    </w:p>
    <w:p w14:paraId="29572612" w14:textId="77777777" w:rsidR="00CC111C" w:rsidRPr="00CC111C" w:rsidRDefault="00CC111C" w:rsidP="00CC111C">
      <w:pPr>
        <w:spacing w:after="160" w:line="259" w:lineRule="auto"/>
        <w:rPr>
          <w:rFonts w:eastAsia="Calibri"/>
          <w:b/>
          <w:szCs w:val="22"/>
          <w:lang w:eastAsia="en-US"/>
        </w:rPr>
      </w:pPr>
      <w:r w:rsidRPr="00CC111C">
        <w:rPr>
          <w:rFonts w:eastAsia="Calibri"/>
          <w:b/>
          <w:szCs w:val="22"/>
          <w:lang w:eastAsia="en-US"/>
        </w:rPr>
        <w:t>Akadeemiliste struktuuriüksuste õppetöö töömahukuse arvestamise eeskiri</w:t>
      </w:r>
    </w:p>
    <w:p w14:paraId="52B6954E" w14:textId="77777777" w:rsidR="00554804" w:rsidRDefault="00554804" w:rsidP="00D71AF5">
      <w:pPr>
        <w:numPr>
          <w:ilvl w:val="0"/>
          <w:numId w:val="5"/>
        </w:numPr>
        <w:rPr>
          <w:rFonts w:eastAsia="Calibri"/>
          <w:szCs w:val="22"/>
          <w:lang w:eastAsia="en-US"/>
        </w:rPr>
      </w:pPr>
      <w:r w:rsidRPr="00CC111C">
        <w:rPr>
          <w:rFonts w:eastAsia="Calibri"/>
          <w:szCs w:val="22"/>
          <w:lang w:eastAsia="en-US"/>
        </w:rPr>
        <w:t>Üldsätted</w:t>
      </w:r>
    </w:p>
    <w:p w14:paraId="6035C443" w14:textId="4E428010" w:rsidR="00CC111C" w:rsidRPr="00554804" w:rsidRDefault="00CC111C" w:rsidP="00554804">
      <w:pPr>
        <w:pStyle w:val="LisaBodyt"/>
      </w:pPr>
      <w:r w:rsidRPr="00554804">
        <w:rPr>
          <w:rFonts w:eastAsia="Calibri"/>
          <w:lang w:eastAsia="en-US"/>
        </w:rPr>
        <w:t xml:space="preserve">Akadeemiliste struktuuriüksuste õppetöö töömahukuse arvestamise eeskirjaga (edaspidi eeskiri) kehtestatakse Tallinna Tehnikaülikooli (edaspidi ülikool) akadeemiliste struktuuriüksuste õppetöö töömahukuse arvestamise alused. Õppetöö töömahukus koosneb kontaktõppe mahust ja lõputööde ning </w:t>
      </w:r>
      <w:r w:rsidRPr="00554804">
        <w:rPr>
          <w:bCs/>
          <w:color w:val="000000"/>
          <w:lang w:eastAsia="en-US"/>
        </w:rPr>
        <w:t>doktoritööde (edaspidi koos lõputöö või lõputööd)</w:t>
      </w:r>
      <w:r w:rsidRPr="00554804">
        <w:rPr>
          <w:b/>
          <w:bCs/>
          <w:color w:val="000000"/>
          <w:lang w:eastAsia="en-US"/>
        </w:rPr>
        <w:t xml:space="preserve"> </w:t>
      </w:r>
      <w:r w:rsidRPr="00554804">
        <w:rPr>
          <w:rFonts w:eastAsia="Calibri"/>
          <w:lang w:eastAsia="en-US"/>
        </w:rPr>
        <w:t xml:space="preserve"> juhendamiste mahust.</w:t>
      </w:r>
    </w:p>
    <w:p w14:paraId="09B716D5" w14:textId="30521A63" w:rsidR="00CC111C" w:rsidRPr="00CC111C" w:rsidRDefault="00CC111C" w:rsidP="00554804">
      <w:pPr>
        <w:pStyle w:val="LisaBodyt"/>
        <w:spacing w:before="120"/>
        <w:rPr>
          <w:rFonts w:eastAsia="Calibri"/>
          <w:szCs w:val="22"/>
          <w:lang w:eastAsia="en-US"/>
        </w:rPr>
      </w:pPr>
      <w:r w:rsidRPr="00CC111C">
        <w:rPr>
          <w:rFonts w:eastAsia="Calibri"/>
          <w:szCs w:val="22"/>
          <w:lang w:eastAsia="en-US"/>
        </w:rPr>
        <w:t xml:space="preserve">Õppetöö töömahukus on üks ülikooli akadeemilise struktuuriüksuse baasrahastuse ja tulemusrahastamise  komponentidest. Muid õppetöö töömahukuse komponente reguleeritakse struktuuriüksustes. Baasrahastuse ja tulemusrahastamise tingimused ja kord ülikooli eelarve kujundamiseks on reguleeritud rektori kehtestatud finantseeskirjaga. </w:t>
      </w:r>
    </w:p>
    <w:p w14:paraId="351E7687" w14:textId="49A5E8FC" w:rsidR="00554804" w:rsidRPr="00CC111C" w:rsidRDefault="00CC111C" w:rsidP="00554804">
      <w:pPr>
        <w:pStyle w:val="Lisatekst"/>
        <w:rPr>
          <w:rFonts w:eastAsia="Calibri"/>
          <w:lang w:eastAsia="en-US"/>
        </w:rPr>
      </w:pPr>
      <w:r w:rsidRPr="00CC111C">
        <w:rPr>
          <w:rFonts w:eastAsia="Calibri"/>
          <w:lang w:eastAsia="en-US"/>
        </w:rPr>
        <w:t>Kontaktõppe mahu arvestamise põhimõtted</w:t>
      </w:r>
    </w:p>
    <w:p w14:paraId="52CF0CF5" w14:textId="495F366B" w:rsidR="00CC111C" w:rsidRPr="00CC111C" w:rsidRDefault="00CC111C" w:rsidP="00554804">
      <w:pPr>
        <w:pStyle w:val="LisaBodyt"/>
        <w:rPr>
          <w:rFonts w:eastAsia="Calibri"/>
          <w:lang w:eastAsia="en-US"/>
        </w:rPr>
      </w:pPr>
      <w:r w:rsidRPr="00CC111C">
        <w:rPr>
          <w:rFonts w:eastAsia="Calibri"/>
          <w:lang w:eastAsia="en-US"/>
        </w:rPr>
        <w:t>Kontaktõppe maht arvestatakse õppeainetele, mis kuuluvad õppekavadesse ja õppeainetele, mis on loetletud rektori käskkirjas, millega kehtestatakse õppekavadesse mittekuuluvate õppeainete tasuta õpetamine.</w:t>
      </w:r>
    </w:p>
    <w:p w14:paraId="6C3100D9" w14:textId="71B1B51D" w:rsidR="00CC111C" w:rsidRPr="00CC111C" w:rsidRDefault="00CC111C" w:rsidP="00554804">
      <w:pPr>
        <w:pStyle w:val="LisaBodyt"/>
        <w:rPr>
          <w:rFonts w:eastAsia="Calibri"/>
          <w:szCs w:val="22"/>
          <w:lang w:eastAsia="en-US"/>
        </w:rPr>
      </w:pPr>
      <w:r w:rsidRPr="00CC111C">
        <w:rPr>
          <w:rFonts w:eastAsia="Calibri"/>
          <w:szCs w:val="22"/>
          <w:lang w:eastAsia="en-US"/>
        </w:rPr>
        <w:t>Kontaktõppe mahu arvestamise aluseks on semestriks deklareeritud ja tunniplaani kantud õppeaine õpetamiseks arvestatud kontaktõppe akadeemiliste tundide summa.</w:t>
      </w:r>
    </w:p>
    <w:p w14:paraId="2EFA699D" w14:textId="78BBBB0D" w:rsidR="00CC111C" w:rsidRPr="00CC111C" w:rsidRDefault="00CC111C" w:rsidP="00554804">
      <w:pPr>
        <w:pStyle w:val="LisaBodyt"/>
        <w:rPr>
          <w:rFonts w:eastAsia="Calibri"/>
          <w:szCs w:val="22"/>
          <w:lang w:eastAsia="en-US"/>
        </w:rPr>
      </w:pPr>
      <w:r w:rsidRPr="00CC111C">
        <w:rPr>
          <w:rFonts w:eastAsia="Calibri"/>
          <w:szCs w:val="22"/>
          <w:lang w:eastAsia="en-US"/>
        </w:rPr>
        <w:t>Õppeaasta kontaktõppe maht on sügissemestri ja kevadsemestri kontaktõppe mahtude summa, mis on läbi korrutatud  koefitsiendiga 3.</w:t>
      </w:r>
    </w:p>
    <w:p w14:paraId="1C51541F" w14:textId="77777777" w:rsidR="00554804" w:rsidRDefault="00CC111C" w:rsidP="00554804">
      <w:pPr>
        <w:pStyle w:val="LisaBodyt"/>
        <w:rPr>
          <w:rFonts w:eastAsia="Calibri"/>
          <w:szCs w:val="22"/>
          <w:lang w:eastAsia="en-US"/>
        </w:rPr>
      </w:pPr>
      <w:r w:rsidRPr="00CC111C">
        <w:rPr>
          <w:rFonts w:eastAsia="Calibri"/>
          <w:szCs w:val="22"/>
          <w:lang w:eastAsia="en-US"/>
        </w:rPr>
        <w:t xml:space="preserve">Kontaktõpe on õpiväljundite saavutamiseks toimuv õppetöö loengu, praktikumi, harjutustunni ja e-õppe formaadis, milles osalevad nii üliõpilane kui õppejõud. E-õpe on õppetöö, mis toimub täielikult või osaliselt digitaalse tehnoloogia vahendeid kasutades. </w:t>
      </w:r>
    </w:p>
    <w:p w14:paraId="5186CF93" w14:textId="77777777" w:rsidR="00554804" w:rsidRDefault="00CC111C" w:rsidP="00554804">
      <w:pPr>
        <w:pStyle w:val="LisaBodyt"/>
        <w:rPr>
          <w:rFonts w:eastAsia="Calibri"/>
          <w:szCs w:val="22"/>
          <w:lang w:eastAsia="en-US"/>
        </w:rPr>
      </w:pPr>
      <w:r w:rsidRPr="00CC111C">
        <w:rPr>
          <w:rFonts w:eastAsia="Calibri"/>
          <w:szCs w:val="22"/>
          <w:lang w:eastAsia="en-US"/>
        </w:rPr>
        <w:t>Kontaktõppe mahu andmete allikaks on õppeinfosüsteem (ÕIS).</w:t>
      </w:r>
    </w:p>
    <w:p w14:paraId="42979C74" w14:textId="16623B3A" w:rsidR="00CC111C" w:rsidRPr="00554804" w:rsidRDefault="00CC111C" w:rsidP="00554804">
      <w:pPr>
        <w:pStyle w:val="LisaBodyt"/>
        <w:spacing w:after="120"/>
        <w:rPr>
          <w:rFonts w:eastAsia="Calibri"/>
          <w:szCs w:val="22"/>
          <w:lang w:eastAsia="en-US"/>
        </w:rPr>
      </w:pPr>
      <w:r w:rsidRPr="00554804">
        <w:rPr>
          <w:rFonts w:eastAsia="Calibri"/>
          <w:szCs w:val="22"/>
          <w:lang w:eastAsia="en-US"/>
        </w:rPr>
        <w:t>Kontaktõppe maksimaalne tundide arv semestris päevaõppe õppevormis, v.a meresõiduohutuse seadusega seotud õppekavade eriõppe praktilistes õppeainetes, arvutatakse lähtuvalt õppekavas ettenähtud õppeaine mahust (ainepunktides, edaspidi EAP) järgmiselt:</w:t>
      </w:r>
    </w:p>
    <w:tbl>
      <w:tblPr>
        <w:tblStyle w:val="TableGrid"/>
        <w:tblW w:w="0" w:type="auto"/>
        <w:tblLook w:val="04A0" w:firstRow="1" w:lastRow="0" w:firstColumn="1" w:lastColumn="0" w:noHBand="0" w:noVBand="1"/>
      </w:tblPr>
      <w:tblGrid>
        <w:gridCol w:w="1413"/>
        <w:gridCol w:w="3969"/>
        <w:gridCol w:w="3680"/>
      </w:tblGrid>
      <w:tr w:rsidR="00554804" w14:paraId="0BA49819" w14:textId="77777777" w:rsidTr="00F8100E">
        <w:tc>
          <w:tcPr>
            <w:tcW w:w="1413" w:type="dxa"/>
          </w:tcPr>
          <w:p w14:paraId="5D90F801" w14:textId="77777777" w:rsidR="00554804" w:rsidRDefault="00554804" w:rsidP="00F8100E">
            <w:pPr>
              <w:jc w:val="center"/>
            </w:pPr>
            <w:r>
              <w:t>õppeaine maht EAP</w:t>
            </w:r>
          </w:p>
        </w:tc>
        <w:tc>
          <w:tcPr>
            <w:tcW w:w="3969" w:type="dxa"/>
          </w:tcPr>
          <w:p w14:paraId="1D871AAD" w14:textId="77777777" w:rsidR="00554804" w:rsidRDefault="00554804" w:rsidP="00F8100E">
            <w:pPr>
              <w:jc w:val="center"/>
            </w:pPr>
            <w:r>
              <w:t>maksimaalne päevaõppe kontakttundide arv semestris</w:t>
            </w:r>
          </w:p>
        </w:tc>
        <w:tc>
          <w:tcPr>
            <w:tcW w:w="3680" w:type="dxa"/>
          </w:tcPr>
          <w:p w14:paraId="6317304B" w14:textId="77777777" w:rsidR="00554804" w:rsidRDefault="00554804" w:rsidP="00F8100E">
            <w:pPr>
              <w:jc w:val="center"/>
            </w:pPr>
            <w:r>
              <w:t>maksimaalne päevaõppe kontakttundide arv nädalas (üldjuhul)</w:t>
            </w:r>
          </w:p>
        </w:tc>
      </w:tr>
      <w:tr w:rsidR="00554804" w14:paraId="325F6A7F" w14:textId="77777777" w:rsidTr="00F8100E">
        <w:tc>
          <w:tcPr>
            <w:tcW w:w="1413" w:type="dxa"/>
          </w:tcPr>
          <w:p w14:paraId="446BAB4F" w14:textId="77777777" w:rsidR="00554804" w:rsidRDefault="00554804" w:rsidP="00F8100E">
            <w:pPr>
              <w:jc w:val="center"/>
            </w:pPr>
            <w:r>
              <w:t>3</w:t>
            </w:r>
          </w:p>
        </w:tc>
        <w:tc>
          <w:tcPr>
            <w:tcW w:w="3969" w:type="dxa"/>
          </w:tcPr>
          <w:p w14:paraId="7197C053" w14:textId="77777777" w:rsidR="00554804" w:rsidRDefault="00554804" w:rsidP="00F8100E">
            <w:pPr>
              <w:jc w:val="center"/>
            </w:pPr>
            <w:r>
              <w:t>32</w:t>
            </w:r>
          </w:p>
        </w:tc>
        <w:tc>
          <w:tcPr>
            <w:tcW w:w="3680" w:type="dxa"/>
          </w:tcPr>
          <w:p w14:paraId="65BA2D0E" w14:textId="77777777" w:rsidR="00554804" w:rsidRDefault="00554804" w:rsidP="00F8100E">
            <w:pPr>
              <w:jc w:val="center"/>
            </w:pPr>
            <w:r>
              <w:t>2</w:t>
            </w:r>
          </w:p>
        </w:tc>
      </w:tr>
      <w:tr w:rsidR="00554804" w14:paraId="5424E4BC" w14:textId="77777777" w:rsidTr="00F8100E">
        <w:tc>
          <w:tcPr>
            <w:tcW w:w="1413" w:type="dxa"/>
          </w:tcPr>
          <w:p w14:paraId="11856002" w14:textId="77777777" w:rsidR="00554804" w:rsidRDefault="00554804" w:rsidP="00F8100E">
            <w:pPr>
              <w:jc w:val="center"/>
            </w:pPr>
            <w:r>
              <w:t>6</w:t>
            </w:r>
          </w:p>
        </w:tc>
        <w:tc>
          <w:tcPr>
            <w:tcW w:w="3969" w:type="dxa"/>
          </w:tcPr>
          <w:p w14:paraId="44C0E659" w14:textId="77777777" w:rsidR="00554804" w:rsidRDefault="00554804" w:rsidP="00F8100E">
            <w:pPr>
              <w:jc w:val="center"/>
            </w:pPr>
            <w:r>
              <w:t>64</w:t>
            </w:r>
          </w:p>
        </w:tc>
        <w:tc>
          <w:tcPr>
            <w:tcW w:w="3680" w:type="dxa"/>
          </w:tcPr>
          <w:p w14:paraId="3751B1F5" w14:textId="77777777" w:rsidR="00554804" w:rsidRDefault="00554804" w:rsidP="00F8100E">
            <w:pPr>
              <w:jc w:val="center"/>
            </w:pPr>
            <w:r>
              <w:t>4</w:t>
            </w:r>
          </w:p>
        </w:tc>
      </w:tr>
      <w:tr w:rsidR="00554804" w14:paraId="707CB9FD" w14:textId="77777777" w:rsidTr="00F8100E">
        <w:tc>
          <w:tcPr>
            <w:tcW w:w="1413" w:type="dxa"/>
          </w:tcPr>
          <w:p w14:paraId="2667ED3F" w14:textId="77777777" w:rsidR="00554804" w:rsidRDefault="00554804" w:rsidP="00F8100E">
            <w:pPr>
              <w:jc w:val="center"/>
            </w:pPr>
            <w:r>
              <w:t>9</w:t>
            </w:r>
          </w:p>
        </w:tc>
        <w:tc>
          <w:tcPr>
            <w:tcW w:w="3969" w:type="dxa"/>
          </w:tcPr>
          <w:p w14:paraId="7C054168" w14:textId="77777777" w:rsidR="00554804" w:rsidRDefault="00554804" w:rsidP="00F8100E">
            <w:pPr>
              <w:jc w:val="center"/>
            </w:pPr>
            <w:r>
              <w:t>96</w:t>
            </w:r>
          </w:p>
        </w:tc>
        <w:tc>
          <w:tcPr>
            <w:tcW w:w="3680" w:type="dxa"/>
          </w:tcPr>
          <w:p w14:paraId="70AB2379" w14:textId="77777777" w:rsidR="00554804" w:rsidRDefault="00554804" w:rsidP="00F8100E">
            <w:pPr>
              <w:jc w:val="center"/>
            </w:pPr>
            <w:r>
              <w:t>6</w:t>
            </w:r>
          </w:p>
        </w:tc>
      </w:tr>
      <w:tr w:rsidR="00554804" w14:paraId="6F78B8B4" w14:textId="77777777" w:rsidTr="00F8100E">
        <w:tc>
          <w:tcPr>
            <w:tcW w:w="1413" w:type="dxa"/>
          </w:tcPr>
          <w:p w14:paraId="7BF80170" w14:textId="77777777" w:rsidR="00554804" w:rsidRDefault="00554804" w:rsidP="00F8100E">
            <w:pPr>
              <w:jc w:val="center"/>
            </w:pPr>
            <w:r>
              <w:t>12</w:t>
            </w:r>
          </w:p>
        </w:tc>
        <w:tc>
          <w:tcPr>
            <w:tcW w:w="3969" w:type="dxa"/>
          </w:tcPr>
          <w:p w14:paraId="745C207E" w14:textId="77777777" w:rsidR="00554804" w:rsidRDefault="00554804" w:rsidP="00F8100E">
            <w:pPr>
              <w:jc w:val="center"/>
            </w:pPr>
            <w:r>
              <w:t>128</w:t>
            </w:r>
          </w:p>
        </w:tc>
        <w:tc>
          <w:tcPr>
            <w:tcW w:w="3680" w:type="dxa"/>
          </w:tcPr>
          <w:p w14:paraId="0D5776E4" w14:textId="77777777" w:rsidR="00554804" w:rsidRDefault="00554804" w:rsidP="00F8100E">
            <w:pPr>
              <w:jc w:val="center"/>
            </w:pPr>
            <w:r>
              <w:t>8</w:t>
            </w:r>
          </w:p>
        </w:tc>
      </w:tr>
    </w:tbl>
    <w:p w14:paraId="1DC9404E" w14:textId="4C46F16D" w:rsidR="00CC111C" w:rsidRPr="00CC111C" w:rsidRDefault="00CC111C" w:rsidP="00554804">
      <w:pPr>
        <w:spacing w:before="120" w:after="160"/>
        <w:rPr>
          <w:rFonts w:eastAsia="Calibri"/>
          <w:szCs w:val="22"/>
          <w:lang w:eastAsia="en-US"/>
        </w:rPr>
      </w:pPr>
      <w:r w:rsidRPr="00CC111C">
        <w:rPr>
          <w:rFonts w:eastAsia="Calibri"/>
          <w:szCs w:val="22"/>
          <w:lang w:eastAsia="en-US"/>
        </w:rPr>
        <w:t>Juhul, kui õppeaine maht (EAP) erineb eeltoodust, siis arvestatakse kontaktõppe tundide arv proportsionaalselt vastavalt käesolevas punktis sätestatule ning saadud tulemus ümardatakse lähima täisarvuni.</w:t>
      </w:r>
    </w:p>
    <w:p w14:paraId="4CB4C082" w14:textId="77777777" w:rsidR="00CC111C" w:rsidRPr="00CC111C" w:rsidRDefault="00CC111C" w:rsidP="00CC111C">
      <w:pPr>
        <w:spacing w:after="160" w:line="259" w:lineRule="auto"/>
        <w:rPr>
          <w:rFonts w:eastAsia="Calibri"/>
          <w:szCs w:val="22"/>
          <w:lang w:eastAsia="en-US"/>
        </w:rPr>
      </w:pPr>
      <w:r w:rsidRPr="00CC111C">
        <w:rPr>
          <w:rFonts w:eastAsia="Calibri"/>
          <w:szCs w:val="22"/>
          <w:lang w:eastAsia="en-US"/>
        </w:rPr>
        <w:t>L + H + P + E &lt;= 64*M/6 , kus</w:t>
      </w:r>
    </w:p>
    <w:p w14:paraId="4D4A22B4" w14:textId="77777777" w:rsidR="00CC111C" w:rsidRPr="00CC111C" w:rsidRDefault="00CC111C" w:rsidP="00CC111C">
      <w:pPr>
        <w:spacing w:after="160" w:line="259" w:lineRule="auto"/>
        <w:rPr>
          <w:rFonts w:eastAsia="Calibri"/>
          <w:szCs w:val="22"/>
          <w:lang w:eastAsia="en-US"/>
        </w:rPr>
      </w:pPr>
      <w:r w:rsidRPr="00CC111C">
        <w:rPr>
          <w:rFonts w:eastAsia="Calibri"/>
          <w:szCs w:val="22"/>
          <w:lang w:eastAsia="en-US"/>
        </w:rPr>
        <w:t>L – loengutunde semestris (kontakttunde üliõpilasele)</w:t>
      </w:r>
    </w:p>
    <w:p w14:paraId="30222750" w14:textId="77777777" w:rsidR="00CC111C" w:rsidRPr="00CC111C" w:rsidRDefault="00CC111C" w:rsidP="00CC111C">
      <w:pPr>
        <w:spacing w:after="160" w:line="259" w:lineRule="auto"/>
        <w:rPr>
          <w:rFonts w:eastAsia="Calibri"/>
          <w:szCs w:val="22"/>
          <w:lang w:eastAsia="en-US"/>
        </w:rPr>
      </w:pPr>
      <w:r w:rsidRPr="00CC111C">
        <w:rPr>
          <w:rFonts w:eastAsia="Calibri"/>
          <w:szCs w:val="22"/>
          <w:lang w:eastAsia="en-US"/>
        </w:rPr>
        <w:t>H – harjutustundi semestris (kontakttunde üliõpilasele)</w:t>
      </w:r>
    </w:p>
    <w:p w14:paraId="294AEC53" w14:textId="77777777" w:rsidR="00CC111C" w:rsidRPr="00CC111C" w:rsidRDefault="00CC111C" w:rsidP="00CC111C">
      <w:pPr>
        <w:spacing w:after="160" w:line="259" w:lineRule="auto"/>
        <w:rPr>
          <w:rFonts w:eastAsia="Calibri"/>
          <w:szCs w:val="22"/>
          <w:lang w:eastAsia="en-US"/>
        </w:rPr>
      </w:pPr>
      <w:r w:rsidRPr="00CC111C">
        <w:rPr>
          <w:rFonts w:eastAsia="Calibri"/>
          <w:szCs w:val="22"/>
          <w:lang w:eastAsia="en-US"/>
        </w:rPr>
        <w:t>P – praktikumitunde semestris (kontakttunde üliõpilasele)</w:t>
      </w:r>
    </w:p>
    <w:p w14:paraId="3A58F1D6" w14:textId="77777777" w:rsidR="00CC111C" w:rsidRPr="00CC111C" w:rsidRDefault="00CC111C" w:rsidP="00CC111C">
      <w:pPr>
        <w:spacing w:after="160" w:line="259" w:lineRule="auto"/>
        <w:rPr>
          <w:rFonts w:eastAsia="Calibri"/>
          <w:szCs w:val="22"/>
          <w:lang w:eastAsia="en-US"/>
        </w:rPr>
      </w:pPr>
      <w:r w:rsidRPr="00CC111C">
        <w:rPr>
          <w:rFonts w:eastAsia="Calibri"/>
          <w:szCs w:val="22"/>
          <w:lang w:eastAsia="en-US"/>
        </w:rPr>
        <w:t>E – e-õppetunde semestris (kontakttunde üliõpilasele)</w:t>
      </w:r>
    </w:p>
    <w:p w14:paraId="014275BD" w14:textId="77777777" w:rsidR="00CC111C" w:rsidRPr="00CC111C" w:rsidRDefault="00CC111C" w:rsidP="00CC111C">
      <w:pPr>
        <w:spacing w:after="160" w:line="259" w:lineRule="auto"/>
        <w:rPr>
          <w:rFonts w:eastAsia="Calibri"/>
          <w:szCs w:val="22"/>
          <w:lang w:eastAsia="en-US"/>
        </w:rPr>
      </w:pPr>
      <w:r w:rsidRPr="00CC111C">
        <w:rPr>
          <w:rFonts w:eastAsia="Calibri"/>
          <w:szCs w:val="22"/>
          <w:lang w:eastAsia="en-US"/>
        </w:rPr>
        <w:t>M – aine maht (EAP)</w:t>
      </w:r>
    </w:p>
    <w:p w14:paraId="6DAB82B6" w14:textId="1D807330" w:rsidR="00CC111C" w:rsidRPr="00CC111C" w:rsidRDefault="00CC111C" w:rsidP="00D71AF5">
      <w:pPr>
        <w:pStyle w:val="LisaBodyt"/>
        <w:spacing w:after="120"/>
        <w:rPr>
          <w:rFonts w:eastAsia="Calibri"/>
          <w:szCs w:val="22"/>
          <w:lang w:eastAsia="en-US"/>
        </w:rPr>
      </w:pPr>
      <w:r w:rsidRPr="00CC111C">
        <w:rPr>
          <w:rFonts w:eastAsia="Calibri"/>
          <w:szCs w:val="22"/>
          <w:lang w:eastAsia="en-US"/>
        </w:rPr>
        <w:t>Kontaktõppe maksimaalne tundide arv semestris sessioonõppe õppevormis moodustab õppeaine mahust kuni 25%, mis arvutatakse järgmiselt:</w:t>
      </w:r>
    </w:p>
    <w:p w14:paraId="67C28304" w14:textId="2761C82F" w:rsidR="00CC111C" w:rsidRDefault="00CC111C" w:rsidP="00D71AF5">
      <w:pPr>
        <w:spacing w:after="120"/>
        <w:rPr>
          <w:rFonts w:eastAsia="Calibri"/>
          <w:szCs w:val="22"/>
          <w:lang w:eastAsia="en-US"/>
        </w:rPr>
      </w:pPr>
      <w:r w:rsidRPr="00CC111C">
        <w:rPr>
          <w:rFonts w:eastAsia="Calibri"/>
          <w:szCs w:val="22"/>
          <w:lang w:eastAsia="en-US"/>
        </w:rPr>
        <w:lastRenderedPageBreak/>
        <w:t>1 EAP = 26 tundi mistahes vormis õppetööd, sellest tundide arvust kuni 25% võib olla kontaktõpe. Enamlevinud õppeaine mahtudele vastavad maksimaalsed kontakttundide arvud sessioonõppe õppevormis on järgmised:</w:t>
      </w:r>
    </w:p>
    <w:tbl>
      <w:tblPr>
        <w:tblStyle w:val="TableGrid2"/>
        <w:tblW w:w="0" w:type="auto"/>
        <w:tblLook w:val="04A0" w:firstRow="1" w:lastRow="0" w:firstColumn="1" w:lastColumn="0" w:noHBand="0" w:noVBand="1"/>
      </w:tblPr>
      <w:tblGrid>
        <w:gridCol w:w="2689"/>
        <w:gridCol w:w="6373"/>
      </w:tblGrid>
      <w:tr w:rsidR="00554804" w14:paraId="4DB348E3" w14:textId="77777777" w:rsidTr="00F8100E">
        <w:tc>
          <w:tcPr>
            <w:tcW w:w="2689" w:type="dxa"/>
          </w:tcPr>
          <w:p w14:paraId="37BB952F" w14:textId="77777777" w:rsidR="00554804" w:rsidRDefault="00554804" w:rsidP="00F8100E">
            <w:pPr>
              <w:jc w:val="center"/>
            </w:pPr>
            <w:r>
              <w:t>õppeaine maht EAP</w:t>
            </w:r>
          </w:p>
        </w:tc>
        <w:tc>
          <w:tcPr>
            <w:tcW w:w="6373" w:type="dxa"/>
          </w:tcPr>
          <w:p w14:paraId="3256F9A0" w14:textId="77777777" w:rsidR="00554804" w:rsidRDefault="00554804" w:rsidP="00F8100E">
            <w:pPr>
              <w:jc w:val="center"/>
            </w:pPr>
            <w:r>
              <w:t>maksimaalne sessioonõppe kontakttundide arv semestris</w:t>
            </w:r>
          </w:p>
        </w:tc>
      </w:tr>
      <w:tr w:rsidR="00554804" w14:paraId="1FF75039" w14:textId="77777777" w:rsidTr="00F8100E">
        <w:tc>
          <w:tcPr>
            <w:tcW w:w="2689" w:type="dxa"/>
          </w:tcPr>
          <w:p w14:paraId="72001D87" w14:textId="77777777" w:rsidR="00554804" w:rsidRDefault="00554804" w:rsidP="00F8100E">
            <w:pPr>
              <w:jc w:val="center"/>
            </w:pPr>
            <w:r>
              <w:t>3</w:t>
            </w:r>
          </w:p>
        </w:tc>
        <w:tc>
          <w:tcPr>
            <w:tcW w:w="6373" w:type="dxa"/>
          </w:tcPr>
          <w:p w14:paraId="0979C7EC" w14:textId="77777777" w:rsidR="00554804" w:rsidRDefault="00554804" w:rsidP="00F8100E">
            <w:pPr>
              <w:jc w:val="center"/>
            </w:pPr>
            <w:r>
              <w:t>19</w:t>
            </w:r>
          </w:p>
        </w:tc>
      </w:tr>
      <w:tr w:rsidR="00554804" w14:paraId="2EDC184A" w14:textId="77777777" w:rsidTr="00F8100E">
        <w:tc>
          <w:tcPr>
            <w:tcW w:w="2689" w:type="dxa"/>
          </w:tcPr>
          <w:p w14:paraId="6DCD69FB" w14:textId="77777777" w:rsidR="00554804" w:rsidRDefault="00554804" w:rsidP="00F8100E">
            <w:pPr>
              <w:jc w:val="center"/>
            </w:pPr>
            <w:r>
              <w:t>6</w:t>
            </w:r>
          </w:p>
        </w:tc>
        <w:tc>
          <w:tcPr>
            <w:tcW w:w="6373" w:type="dxa"/>
          </w:tcPr>
          <w:p w14:paraId="7C67A2C3" w14:textId="77777777" w:rsidR="00554804" w:rsidRDefault="00554804" w:rsidP="00F8100E">
            <w:pPr>
              <w:jc w:val="center"/>
            </w:pPr>
            <w:r>
              <w:t>39</w:t>
            </w:r>
          </w:p>
        </w:tc>
      </w:tr>
      <w:tr w:rsidR="00554804" w14:paraId="3A8F8AE6" w14:textId="77777777" w:rsidTr="00F8100E">
        <w:tc>
          <w:tcPr>
            <w:tcW w:w="2689" w:type="dxa"/>
          </w:tcPr>
          <w:p w14:paraId="4C9C95B1" w14:textId="77777777" w:rsidR="00554804" w:rsidRDefault="00554804" w:rsidP="00F8100E">
            <w:pPr>
              <w:jc w:val="center"/>
            </w:pPr>
            <w:r>
              <w:t>9</w:t>
            </w:r>
          </w:p>
        </w:tc>
        <w:tc>
          <w:tcPr>
            <w:tcW w:w="6373" w:type="dxa"/>
          </w:tcPr>
          <w:p w14:paraId="2E2773BB" w14:textId="77777777" w:rsidR="00554804" w:rsidRDefault="00554804" w:rsidP="00F8100E">
            <w:pPr>
              <w:jc w:val="center"/>
            </w:pPr>
            <w:r>
              <w:t>58</w:t>
            </w:r>
          </w:p>
        </w:tc>
      </w:tr>
      <w:tr w:rsidR="00554804" w14:paraId="2793A20A" w14:textId="77777777" w:rsidTr="00F8100E">
        <w:tc>
          <w:tcPr>
            <w:tcW w:w="2689" w:type="dxa"/>
          </w:tcPr>
          <w:p w14:paraId="2FD07BB6" w14:textId="77777777" w:rsidR="00554804" w:rsidRDefault="00554804" w:rsidP="00F8100E">
            <w:pPr>
              <w:jc w:val="center"/>
            </w:pPr>
            <w:r>
              <w:t>12</w:t>
            </w:r>
          </w:p>
        </w:tc>
        <w:tc>
          <w:tcPr>
            <w:tcW w:w="6373" w:type="dxa"/>
          </w:tcPr>
          <w:p w14:paraId="6C26CD01" w14:textId="77777777" w:rsidR="00554804" w:rsidRDefault="00554804" w:rsidP="00F8100E">
            <w:pPr>
              <w:jc w:val="center"/>
            </w:pPr>
            <w:r>
              <w:t>78</w:t>
            </w:r>
          </w:p>
        </w:tc>
      </w:tr>
    </w:tbl>
    <w:p w14:paraId="34C7CEF6" w14:textId="7CD7F88D" w:rsidR="00CC111C" w:rsidRPr="00CC111C" w:rsidRDefault="00CC111C" w:rsidP="00D71AF5">
      <w:pPr>
        <w:pStyle w:val="LisaBodyt"/>
        <w:spacing w:before="120" w:after="120"/>
        <w:rPr>
          <w:rFonts w:eastAsia="Calibri"/>
          <w:szCs w:val="22"/>
          <w:lang w:eastAsia="en-US"/>
        </w:rPr>
      </w:pPr>
      <w:r w:rsidRPr="00CC111C">
        <w:rPr>
          <w:rFonts w:eastAsia="Calibri"/>
          <w:szCs w:val="22"/>
          <w:lang w:eastAsia="en-US"/>
        </w:rPr>
        <w:t>Kui ainet õpetatakse mitmes keeles või mitmes õppevormis, siis arvestuslik kontaktõppe maht leitakse iga õppekeele ja õppevormi jaoks eraldi ja tulemused liidetakse . Mõlema õppevormi korral võetakse arvesse ainekaval olevad päevaõppe kontakttunnid.</w:t>
      </w:r>
    </w:p>
    <w:p w14:paraId="705B8303" w14:textId="6DDA9662" w:rsidR="00CC111C" w:rsidRDefault="00CC111C" w:rsidP="00D71AF5">
      <w:pPr>
        <w:pStyle w:val="Lisatekst"/>
        <w:rPr>
          <w:rFonts w:eastAsia="Calibri"/>
          <w:lang w:eastAsia="en-US"/>
        </w:rPr>
      </w:pPr>
      <w:r w:rsidRPr="00CC111C">
        <w:rPr>
          <w:rFonts w:eastAsia="Calibri"/>
          <w:lang w:eastAsia="en-US"/>
        </w:rPr>
        <w:t>Õppeaine kontaktõppe mahu arvutamine</w:t>
      </w:r>
    </w:p>
    <w:p w14:paraId="01BE0D85" w14:textId="086D68C0" w:rsidR="00CC111C" w:rsidRPr="00D71AF5" w:rsidRDefault="00CC111C" w:rsidP="00D71AF5">
      <w:pPr>
        <w:pStyle w:val="LisaBodyt"/>
        <w:rPr>
          <w:rFonts w:eastAsia="Calibri"/>
          <w:lang w:eastAsia="en-US"/>
        </w:rPr>
      </w:pPr>
      <w:r w:rsidRPr="00D71AF5">
        <w:rPr>
          <w:rFonts w:eastAsia="Calibri"/>
          <w:szCs w:val="22"/>
          <w:lang w:eastAsia="en-US"/>
        </w:rPr>
        <w:t>Õppeaine arvestuslik kontaktõppe tundide summa arvutatakse alljärgnevalt:</w:t>
      </w:r>
    </w:p>
    <w:p w14:paraId="73194B81" w14:textId="3131D24B" w:rsidR="00CC111C" w:rsidRPr="00D71AF5" w:rsidRDefault="00CC111C" w:rsidP="00D71AF5">
      <w:pPr>
        <w:pStyle w:val="LisaBodyt2"/>
        <w:spacing w:before="120"/>
        <w:rPr>
          <w:rFonts w:eastAsia="Calibri"/>
          <w:lang w:eastAsia="en-US"/>
        </w:rPr>
      </w:pPr>
      <w:r w:rsidRPr="00D71AF5">
        <w:rPr>
          <w:rFonts w:eastAsia="Calibri"/>
          <w:szCs w:val="22"/>
          <w:lang w:eastAsia="en-US"/>
        </w:rPr>
        <w:t>Juhul kui õppeainet deklareerinud üliõpilaste õppurite arv on suurem kui 8, siis arvutatakse kontaktõppe tundide summa õppeaine kohta (</w:t>
      </w:r>
      <m:oMath>
        <m:sSub>
          <m:sSubPr>
            <m:ctrlPr>
              <w:rPr>
                <w:rFonts w:ascii="Cambria Math" w:eastAsia="Calibri" w:hAnsi="Cambria Math"/>
                <w:i/>
                <w:szCs w:val="22"/>
                <w:lang w:eastAsia="en-US"/>
              </w:rPr>
            </m:ctrlPr>
          </m:sSubPr>
          <m:e>
            <m:r>
              <w:rPr>
                <w:rFonts w:ascii="Cambria Math" w:eastAsia="Calibri" w:hAnsi="Cambria Math"/>
                <w:szCs w:val="22"/>
                <w:lang w:eastAsia="en-US"/>
              </w:rPr>
              <m:t>K</m:t>
            </m:r>
          </m:e>
          <m:sub>
            <m:r>
              <w:rPr>
                <w:rFonts w:ascii="Cambria Math" w:eastAsia="Calibri" w:hAnsi="Cambria Math"/>
                <w:szCs w:val="22"/>
                <w:lang w:eastAsia="en-US"/>
              </w:rPr>
              <m:t>aine</m:t>
            </m:r>
          </m:sub>
        </m:sSub>
      </m:oMath>
      <w:r w:rsidRPr="00D71AF5">
        <w:rPr>
          <w:rFonts w:eastAsia="Calibri"/>
          <w:szCs w:val="22"/>
          <w:lang w:eastAsia="en-US"/>
        </w:rPr>
        <w:t>) valemi alusel:</w:t>
      </w:r>
    </w:p>
    <w:p w14:paraId="2C7289CE" w14:textId="77777777" w:rsidR="00CC111C" w:rsidRPr="00CC111C" w:rsidRDefault="004452E0" w:rsidP="00CC111C">
      <w:pPr>
        <w:keepNext/>
        <w:keepLines/>
        <w:tabs>
          <w:tab w:val="left" w:pos="6521"/>
        </w:tabs>
        <w:spacing w:before="120"/>
        <w:rPr>
          <w:lang w:eastAsia="en-US"/>
        </w:rPr>
      </w:pPr>
      <m:oMathPara>
        <m:oMathParaPr>
          <m:jc m:val="left"/>
        </m:oMathParaPr>
        <m:oMath>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aine</m:t>
              </m:r>
            </m:sub>
          </m:sSub>
          <m:r>
            <w:rPr>
              <w:rFonts w:ascii="Cambria Math" w:hAnsi="Cambria Math"/>
              <w:lang w:eastAsia="en-US"/>
            </w:rPr>
            <m:t>(T)=</m:t>
          </m:r>
          <m:d>
            <m:dPr>
              <m:begChr m:val="⌈"/>
              <m:endChr m:val="⌉"/>
              <m:ctrlPr>
                <w:rPr>
                  <w:rFonts w:ascii="Cambria Math" w:hAnsi="Cambria Math"/>
                  <w:i/>
                  <w:iCs/>
                  <w:lang w:eastAsia="en-US"/>
                </w:rPr>
              </m:ctrlPr>
            </m:dPr>
            <m:e>
              <m:f>
                <m:fPr>
                  <m:ctrlPr>
                    <w:rPr>
                      <w:rFonts w:ascii="Cambria Math" w:hAnsi="Cambria Math"/>
                      <w:i/>
                      <w:iCs/>
                      <w:lang w:eastAsia="en-US"/>
                    </w:rPr>
                  </m:ctrlPr>
                </m:fPr>
                <m:num>
                  <m:r>
                    <w:rPr>
                      <w:rFonts w:ascii="Cambria Math" w:hAnsi="Cambria Math"/>
                      <w:lang w:eastAsia="en-US"/>
                    </w:rPr>
                    <m:t>T</m:t>
                  </m:r>
                </m:num>
                <m:den>
                  <m:r>
                    <w:rPr>
                      <w:rFonts w:ascii="Cambria Math" w:hAnsi="Cambria Math"/>
                      <w:lang w:eastAsia="en-US"/>
                    </w:rPr>
                    <m:t>200</m:t>
                  </m:r>
                </m:den>
              </m:f>
            </m:e>
          </m:d>
          <m:r>
            <w:rPr>
              <w:rFonts w:ascii="Cambria Math" w:hAnsi="Cambria Math"/>
              <w:lang w:eastAsia="en-US"/>
            </w:rPr>
            <m:t>*L+</m:t>
          </m:r>
          <m:d>
            <m:dPr>
              <m:begChr m:val="⌈"/>
              <m:endChr m:val="⌉"/>
              <m:ctrlPr>
                <w:rPr>
                  <w:rFonts w:ascii="Cambria Math" w:hAnsi="Cambria Math"/>
                  <w:i/>
                  <w:iCs/>
                  <w:lang w:eastAsia="en-US"/>
                </w:rPr>
              </m:ctrlPr>
            </m:dPr>
            <m:e>
              <m:f>
                <m:fPr>
                  <m:ctrlPr>
                    <w:rPr>
                      <w:rFonts w:ascii="Cambria Math" w:hAnsi="Cambria Math"/>
                      <w:i/>
                      <w:iCs/>
                      <w:lang w:eastAsia="en-US"/>
                    </w:rPr>
                  </m:ctrlPr>
                </m:fPr>
                <m:num>
                  <m:r>
                    <w:rPr>
                      <w:rFonts w:ascii="Cambria Math" w:hAnsi="Cambria Math"/>
                      <w:lang w:eastAsia="en-US"/>
                    </w:rPr>
                    <m:t>T</m:t>
                  </m:r>
                </m:num>
                <m:den>
                  <m:r>
                    <w:rPr>
                      <w:rFonts w:ascii="Cambria Math" w:hAnsi="Cambria Math"/>
                      <w:lang w:eastAsia="en-US"/>
                    </w:rPr>
                    <m:t>25</m:t>
                  </m:r>
                </m:den>
              </m:f>
            </m:e>
          </m:d>
          <m:r>
            <w:rPr>
              <w:rFonts w:ascii="Cambria Math" w:hAnsi="Cambria Math"/>
              <w:lang w:eastAsia="en-US"/>
            </w:rPr>
            <m:t>*H+</m:t>
          </m:r>
          <m:d>
            <m:dPr>
              <m:begChr m:val="⌈"/>
              <m:endChr m:val="⌉"/>
              <m:ctrlPr>
                <w:rPr>
                  <w:rFonts w:ascii="Cambria Math" w:hAnsi="Cambria Math"/>
                  <w:i/>
                  <w:iCs/>
                  <w:lang w:eastAsia="en-US"/>
                </w:rPr>
              </m:ctrlPr>
            </m:dPr>
            <m:e>
              <m:f>
                <m:fPr>
                  <m:ctrlPr>
                    <w:rPr>
                      <w:rFonts w:ascii="Cambria Math" w:hAnsi="Cambria Math"/>
                      <w:i/>
                      <w:iCs/>
                      <w:lang w:eastAsia="en-US"/>
                    </w:rPr>
                  </m:ctrlPr>
                </m:fPr>
                <m:num>
                  <m:r>
                    <w:rPr>
                      <w:rFonts w:ascii="Cambria Math" w:hAnsi="Cambria Math"/>
                      <w:lang w:eastAsia="en-US"/>
                    </w:rPr>
                    <m:t>T</m:t>
                  </m:r>
                </m:num>
                <m:den>
                  <m:r>
                    <w:rPr>
                      <w:rFonts w:ascii="Cambria Math" w:hAnsi="Cambria Math"/>
                      <w:lang w:eastAsia="en-US"/>
                    </w:rPr>
                    <m:t>16</m:t>
                  </m:r>
                </m:den>
              </m:f>
            </m:e>
          </m:d>
          <m:r>
            <w:rPr>
              <w:rFonts w:ascii="Cambria Math" w:hAnsi="Cambria Math"/>
              <w:lang w:eastAsia="en-US"/>
            </w:rPr>
            <m:t>*P+</m:t>
          </m:r>
          <m:d>
            <m:dPr>
              <m:begChr m:val="⌈"/>
              <m:endChr m:val="⌉"/>
              <m:ctrlPr>
                <w:rPr>
                  <w:rFonts w:ascii="Cambria Math" w:hAnsi="Cambria Math"/>
                  <w:i/>
                  <w:iCs/>
                  <w:lang w:eastAsia="en-US"/>
                </w:rPr>
              </m:ctrlPr>
            </m:dPr>
            <m:e>
              <m:f>
                <m:fPr>
                  <m:ctrlPr>
                    <w:rPr>
                      <w:rFonts w:ascii="Cambria Math" w:hAnsi="Cambria Math"/>
                      <w:i/>
                      <w:iCs/>
                      <w:lang w:eastAsia="en-US"/>
                    </w:rPr>
                  </m:ctrlPr>
                </m:fPr>
                <m:num>
                  <m:r>
                    <w:rPr>
                      <w:rFonts w:ascii="Cambria Math" w:hAnsi="Cambria Math"/>
                      <w:lang w:eastAsia="en-US"/>
                    </w:rPr>
                    <m:t>T</m:t>
                  </m:r>
                </m:num>
                <m:den>
                  <m:r>
                    <w:rPr>
                      <w:rFonts w:ascii="Cambria Math" w:hAnsi="Cambria Math"/>
                      <w:lang w:eastAsia="en-US"/>
                    </w:rPr>
                    <m:t>40</m:t>
                  </m:r>
                </m:den>
              </m:f>
            </m:e>
          </m:d>
          <m:r>
            <w:rPr>
              <w:rFonts w:ascii="Cambria Math" w:hAnsi="Cambria Math"/>
              <w:lang w:eastAsia="en-US"/>
            </w:rPr>
            <m:t>*E</m:t>
          </m:r>
        </m:oMath>
      </m:oMathPara>
    </w:p>
    <w:p w14:paraId="411D6AA5" w14:textId="77777777" w:rsidR="00CC111C" w:rsidRPr="00CC111C" w:rsidRDefault="00CC111C" w:rsidP="00CC111C">
      <w:pPr>
        <w:spacing w:after="160" w:line="259" w:lineRule="auto"/>
        <w:rPr>
          <w:rFonts w:eastAsia="Calibri"/>
          <w:szCs w:val="22"/>
          <w:lang w:eastAsia="en-US"/>
        </w:rPr>
      </w:pPr>
      <w:r w:rsidRPr="00CC111C">
        <w:rPr>
          <w:rFonts w:eastAsia="Calibri"/>
          <w:szCs w:val="22"/>
          <w:lang w:eastAsia="en-US"/>
        </w:rPr>
        <w:br/>
        <w:t>K – kontaktõppe tundide arv</w:t>
      </w:r>
    </w:p>
    <w:p w14:paraId="2091085F" w14:textId="77777777" w:rsidR="00CC111C" w:rsidRPr="00CC111C" w:rsidRDefault="00CC111C" w:rsidP="00CC111C">
      <w:pPr>
        <w:spacing w:after="160" w:line="259" w:lineRule="auto"/>
        <w:rPr>
          <w:rFonts w:eastAsia="Calibri"/>
          <w:szCs w:val="22"/>
          <w:lang w:eastAsia="en-US"/>
        </w:rPr>
      </w:pPr>
      <w:r w:rsidRPr="00CC111C">
        <w:rPr>
          <w:rFonts w:eastAsia="Calibri"/>
          <w:szCs w:val="22"/>
          <w:lang w:eastAsia="en-US"/>
        </w:rPr>
        <w:t>T – deklareerinud õppurite arv aines, välja jäetakse välisüliõpilased, kes õpivad inglikeelsel õppekaval õppekulusid hüvitades ja kellel ei ole Euroopa Liidu liikmesriigi kodakondsust; alates 2024 sisse astunute puhul loetakse õppekulusid hüvitavate üliõpilaste hulka ka need, kelle teaduskond on otsustanud õppemaksust vabastada</w:t>
      </w:r>
    </w:p>
    <w:p w14:paraId="76FAE279" w14:textId="77777777" w:rsidR="00CC111C" w:rsidRPr="00CC111C" w:rsidRDefault="00CC111C" w:rsidP="00CC111C">
      <w:pPr>
        <w:spacing w:after="160" w:line="259" w:lineRule="auto"/>
        <w:rPr>
          <w:rFonts w:eastAsia="Calibri"/>
          <w:szCs w:val="22"/>
          <w:lang w:eastAsia="en-US"/>
        </w:rPr>
      </w:pPr>
      <w:r w:rsidRPr="00CC111C">
        <w:rPr>
          <w:rFonts w:ascii="Cambria Math" w:eastAsia="Calibri" w:hAnsi="Cambria Math" w:cs="Cambria Math"/>
          <w:szCs w:val="22"/>
          <w:lang w:eastAsia="en-US"/>
        </w:rPr>
        <w:t xml:space="preserve">⌈ ⌉ </w:t>
      </w:r>
      <w:r w:rsidRPr="00CC111C">
        <w:rPr>
          <w:rFonts w:eastAsia="Calibri"/>
          <w:szCs w:val="22"/>
          <w:lang w:eastAsia="en-US"/>
        </w:rPr>
        <w:t>- ümardamine ülespoole järgmise täisarvuni</w:t>
      </w:r>
    </w:p>
    <w:p w14:paraId="11CF447B" w14:textId="12CAFA1A" w:rsidR="00CC111C" w:rsidRPr="00CC111C" w:rsidRDefault="00CC111C" w:rsidP="00D71AF5">
      <w:pPr>
        <w:pStyle w:val="LisaBodyt2"/>
        <w:spacing w:before="120"/>
        <w:rPr>
          <w:rFonts w:eastAsia="Calibri"/>
          <w:szCs w:val="22"/>
          <w:lang w:eastAsia="en-US"/>
        </w:rPr>
      </w:pPr>
      <w:r w:rsidRPr="00CC111C">
        <w:rPr>
          <w:rFonts w:eastAsia="Calibri"/>
          <w:szCs w:val="22"/>
          <w:lang w:eastAsia="en-US"/>
        </w:rPr>
        <w:t>Juhul kui deklareerinud õppurite arv aines on võrdne või väiksem kui 8, v.a meresõiduohutuse seadusega seotud õppekavade eriõppe praktilistes õppeainetes, siis arvutatakse kontaktõppe tundide summa õppeaine kohta (</w:t>
      </w:r>
      <m:oMath>
        <m:sSub>
          <m:sSubPr>
            <m:ctrlPr>
              <w:rPr>
                <w:rFonts w:ascii="Cambria Math" w:eastAsia="Calibri" w:hAnsi="Cambria Math"/>
                <w:i/>
                <w:szCs w:val="22"/>
                <w:lang w:eastAsia="en-US"/>
              </w:rPr>
            </m:ctrlPr>
          </m:sSubPr>
          <m:e>
            <m:r>
              <w:rPr>
                <w:rFonts w:ascii="Cambria Math" w:eastAsia="Calibri" w:hAnsi="Cambria Math"/>
                <w:szCs w:val="22"/>
                <w:lang w:eastAsia="en-US"/>
              </w:rPr>
              <m:t>K</m:t>
            </m:r>
          </m:e>
          <m:sub>
            <m:r>
              <w:rPr>
                <w:rFonts w:ascii="Cambria Math" w:eastAsia="Calibri" w:hAnsi="Cambria Math"/>
                <w:szCs w:val="22"/>
                <w:lang w:eastAsia="en-US"/>
              </w:rPr>
              <m:t>aine</m:t>
            </m:r>
          </m:sub>
        </m:sSub>
      </m:oMath>
      <w:r w:rsidRPr="00CC111C">
        <w:rPr>
          <w:rFonts w:eastAsia="Calibri"/>
          <w:szCs w:val="22"/>
          <w:lang w:eastAsia="en-US"/>
        </w:rPr>
        <w:t>) valemi alusel:</w:t>
      </w:r>
    </w:p>
    <w:p w14:paraId="5782D45C" w14:textId="77777777" w:rsidR="00CC111C" w:rsidRPr="00CC111C" w:rsidRDefault="004452E0" w:rsidP="00CC111C">
      <w:pPr>
        <w:rPr>
          <w:iCs/>
          <w:szCs w:val="22"/>
          <w:lang w:eastAsia="en-US"/>
        </w:rPr>
      </w:pPr>
      <m:oMathPara>
        <m:oMathParaPr>
          <m:jc m:val="left"/>
        </m:oMathParaPr>
        <m:oMath>
          <m:sSub>
            <m:sSubPr>
              <m:ctrlPr>
                <w:rPr>
                  <w:rFonts w:ascii="Cambria Math" w:eastAsia="Calibri" w:hAnsi="Cambria Math"/>
                  <w:i/>
                  <w:szCs w:val="22"/>
                  <w:lang w:eastAsia="en-US"/>
                </w:rPr>
              </m:ctrlPr>
            </m:sSubPr>
            <m:e>
              <m:r>
                <w:rPr>
                  <w:rFonts w:ascii="Cambria Math" w:eastAsia="Calibri" w:hAnsi="Cambria Math"/>
                  <w:szCs w:val="22"/>
                  <w:lang w:eastAsia="en-US"/>
                </w:rPr>
                <m:t>K</m:t>
              </m:r>
            </m:e>
            <m:sub>
              <m:r>
                <w:rPr>
                  <w:rFonts w:ascii="Cambria Math" w:eastAsia="Calibri" w:hAnsi="Cambria Math"/>
                  <w:szCs w:val="22"/>
                  <w:lang w:eastAsia="en-US"/>
                </w:rPr>
                <m:t>aine</m:t>
              </m:r>
            </m:sub>
          </m:sSub>
          <m:r>
            <w:rPr>
              <w:rFonts w:ascii="Cambria Math" w:eastAsia="Calibri" w:hAnsi="Cambria Math"/>
              <w:szCs w:val="22"/>
              <w:lang w:eastAsia="en-US"/>
            </w:rPr>
            <m:t>(T)=</m:t>
          </m:r>
          <m:d>
            <m:dPr>
              <m:ctrlPr>
                <w:rPr>
                  <w:rFonts w:ascii="Cambria Math" w:eastAsia="Calibri" w:hAnsi="Cambria Math"/>
                  <w:i/>
                  <w:iCs/>
                  <w:szCs w:val="22"/>
                  <w:lang w:eastAsia="en-US"/>
                </w:rPr>
              </m:ctrlPr>
            </m:dPr>
            <m:e>
              <m:f>
                <m:fPr>
                  <m:ctrlPr>
                    <w:rPr>
                      <w:rFonts w:ascii="Cambria Math" w:eastAsia="Calibri" w:hAnsi="Cambria Math"/>
                      <w:i/>
                      <w:iCs/>
                      <w:szCs w:val="22"/>
                      <w:lang w:eastAsia="en-US"/>
                    </w:rPr>
                  </m:ctrlPr>
                </m:fPr>
                <m:num>
                  <m:r>
                    <w:rPr>
                      <w:rFonts w:ascii="Cambria Math" w:eastAsia="Calibri" w:hAnsi="Cambria Math"/>
                      <w:szCs w:val="22"/>
                      <w:lang w:eastAsia="en-US"/>
                    </w:rPr>
                    <m:t>T</m:t>
                  </m:r>
                </m:num>
                <m:den>
                  <m:r>
                    <w:rPr>
                      <w:rFonts w:ascii="Cambria Math" w:eastAsia="Calibri" w:hAnsi="Cambria Math"/>
                      <w:szCs w:val="22"/>
                      <w:lang w:eastAsia="en-US"/>
                    </w:rPr>
                    <m:t>8</m:t>
                  </m:r>
                </m:den>
              </m:f>
            </m:e>
          </m:d>
          <m:r>
            <w:rPr>
              <w:rFonts w:ascii="Cambria Math" w:eastAsia="Calibri" w:hAnsi="Cambria Math"/>
              <w:szCs w:val="22"/>
              <w:lang w:eastAsia="en-US"/>
            </w:rPr>
            <m:t>*</m:t>
          </m:r>
          <m:d>
            <m:dPr>
              <m:ctrlPr>
                <w:rPr>
                  <w:rFonts w:ascii="Cambria Math" w:eastAsia="Calibri" w:hAnsi="Cambria Math"/>
                  <w:i/>
                  <w:iCs/>
                  <w:szCs w:val="22"/>
                  <w:lang w:eastAsia="en-US"/>
                </w:rPr>
              </m:ctrlPr>
            </m:dPr>
            <m:e>
              <m:r>
                <w:rPr>
                  <w:rFonts w:ascii="Cambria Math" w:eastAsia="Calibri" w:hAnsi="Cambria Math"/>
                  <w:szCs w:val="22"/>
                  <w:lang w:eastAsia="en-US"/>
                </w:rPr>
                <m:t>L+H+P+E</m:t>
              </m:r>
            </m:e>
          </m:d>
        </m:oMath>
      </m:oMathPara>
    </w:p>
    <w:p w14:paraId="5119B7AB" w14:textId="77777777" w:rsidR="00CC111C" w:rsidRPr="00CC111C" w:rsidRDefault="00CC111C" w:rsidP="00CC111C">
      <w:pPr>
        <w:rPr>
          <w:iCs/>
          <w:szCs w:val="22"/>
          <w:lang w:eastAsia="en-US"/>
        </w:rPr>
      </w:pPr>
    </w:p>
    <w:p w14:paraId="63AEED88" w14:textId="279E01FC" w:rsidR="00CC111C" w:rsidRPr="00CC111C" w:rsidRDefault="00CC111C" w:rsidP="00CC111C">
      <w:pPr>
        <w:rPr>
          <w:iCs/>
          <w:szCs w:val="22"/>
          <w:lang w:eastAsia="en-US"/>
        </w:rPr>
      </w:pPr>
      <w:r w:rsidRPr="00CC111C">
        <w:rPr>
          <w:iCs/>
          <w:szCs w:val="22"/>
          <w:lang w:eastAsia="en-US"/>
        </w:rPr>
        <w:t>Meresõiduohutuse seadusega seotud õppekavade eriõppe praktilistes õppeainetes arvutatakse juhul, kui üliõpilaste arv aines on võrdne või väiksem kui 8, kontaktõppe tundide summa õppeaine kohta (</w:t>
      </w:r>
      <m:oMath>
        <m:sSub>
          <m:sSubPr>
            <m:ctrlPr>
              <w:rPr>
                <w:rFonts w:ascii="Cambria Math" w:eastAsia="Calibri" w:hAnsi="Cambria Math"/>
                <w:i/>
                <w:szCs w:val="22"/>
                <w:lang w:eastAsia="en-US"/>
              </w:rPr>
            </m:ctrlPr>
          </m:sSubPr>
          <m:e>
            <m:r>
              <w:rPr>
                <w:rFonts w:ascii="Cambria Math" w:eastAsia="Calibri" w:hAnsi="Cambria Math"/>
                <w:szCs w:val="22"/>
                <w:lang w:eastAsia="en-US"/>
              </w:rPr>
              <m:t>K</m:t>
            </m:r>
          </m:e>
          <m:sub>
            <m:r>
              <w:rPr>
                <w:rFonts w:ascii="Cambria Math" w:eastAsia="Calibri" w:hAnsi="Cambria Math"/>
                <w:szCs w:val="22"/>
                <w:lang w:eastAsia="en-US"/>
              </w:rPr>
              <m:t>aine</m:t>
            </m:r>
          </m:sub>
        </m:sSub>
      </m:oMath>
      <w:r w:rsidRPr="00CC111C">
        <w:rPr>
          <w:iCs/>
          <w:szCs w:val="22"/>
          <w:lang w:eastAsia="en-US"/>
        </w:rPr>
        <w:t>)  punktis 3.1.1 sätestatud valemi alusel.</w:t>
      </w:r>
    </w:p>
    <w:p w14:paraId="260A0F36" w14:textId="6D5A68DD" w:rsidR="00CC111C" w:rsidRPr="00D71AF5" w:rsidRDefault="00CC111C" w:rsidP="00D71AF5">
      <w:pPr>
        <w:pStyle w:val="LisaBodyt2"/>
        <w:spacing w:before="120"/>
        <w:rPr>
          <w:iCs/>
          <w:szCs w:val="22"/>
          <w:lang w:eastAsia="en-US"/>
        </w:rPr>
      </w:pPr>
      <w:r w:rsidRPr="00CC111C">
        <w:rPr>
          <w:iCs/>
          <w:szCs w:val="22"/>
          <w:lang w:eastAsia="en-US"/>
        </w:rPr>
        <w:t>Punktides 3.1.1 ja 3.1.2 mainitud deklareerinud õppurite arv fikseeritakse semestri kontaktõppe perioodi lõpukuupäevale järgneva päeva seisuga.</w:t>
      </w:r>
    </w:p>
    <w:p w14:paraId="6AF63E8A" w14:textId="4075DDF3" w:rsidR="00CC111C" w:rsidRPr="00CC111C" w:rsidRDefault="00CC111C" w:rsidP="00D71AF5">
      <w:pPr>
        <w:pStyle w:val="LisaBodyt2"/>
        <w:spacing w:before="120"/>
        <w:rPr>
          <w:rFonts w:eastAsia="Calibri"/>
          <w:szCs w:val="22"/>
          <w:lang w:eastAsia="en-US"/>
        </w:rPr>
      </w:pPr>
      <w:r w:rsidRPr="00CC111C">
        <w:rPr>
          <w:rFonts w:eastAsia="Calibri"/>
          <w:szCs w:val="22"/>
          <w:lang w:eastAsia="en-US"/>
        </w:rPr>
        <w:t xml:space="preserve">Kui aine </w:t>
      </w:r>
      <w:proofErr w:type="spellStart"/>
      <w:r w:rsidRPr="00CC111C">
        <w:rPr>
          <w:rFonts w:eastAsia="Calibri"/>
          <w:szCs w:val="22"/>
          <w:lang w:eastAsia="en-US"/>
        </w:rPr>
        <w:t>e-toele</w:t>
      </w:r>
      <w:proofErr w:type="spellEnd"/>
      <w:r w:rsidRPr="00CC111C">
        <w:rPr>
          <w:rFonts w:eastAsia="Calibri"/>
          <w:szCs w:val="22"/>
          <w:lang w:eastAsia="en-US"/>
        </w:rPr>
        <w:t xml:space="preserve">  on omistatud </w:t>
      </w:r>
      <w:proofErr w:type="spellStart"/>
      <w:r w:rsidRPr="00CC111C">
        <w:rPr>
          <w:rFonts w:eastAsia="Calibri"/>
          <w:szCs w:val="22"/>
          <w:lang w:eastAsia="en-US"/>
        </w:rPr>
        <w:t>TalTechi</w:t>
      </w:r>
      <w:proofErr w:type="spellEnd"/>
      <w:r w:rsidRPr="00CC111C">
        <w:rPr>
          <w:rFonts w:eastAsia="Calibri"/>
          <w:szCs w:val="22"/>
          <w:lang w:eastAsia="en-US"/>
        </w:rPr>
        <w:t xml:space="preserve"> e-õppe standardi järgi tase 2 või EKKA e-kursuse kvaliteedimärk, siis korrutatakse vastava aine kontakttundide arv läbi kordajaga 1,15. Kui ainele  omistatud </w:t>
      </w:r>
      <w:proofErr w:type="spellStart"/>
      <w:r w:rsidRPr="00CC111C">
        <w:rPr>
          <w:rFonts w:eastAsia="Calibri"/>
          <w:szCs w:val="22"/>
          <w:lang w:eastAsia="en-US"/>
        </w:rPr>
        <w:t>e-toe</w:t>
      </w:r>
      <w:proofErr w:type="spellEnd"/>
      <w:r w:rsidRPr="00CC111C">
        <w:rPr>
          <w:rFonts w:eastAsia="Calibri"/>
          <w:szCs w:val="22"/>
          <w:lang w:eastAsia="en-US"/>
        </w:rPr>
        <w:t xml:space="preserve"> tase on 3, siis korrutatakse vastava aine kontakttundide arv läbi kordajaga 1,3.</w:t>
      </w:r>
    </w:p>
    <w:p w14:paraId="03CA2F9E" w14:textId="07B5CA94" w:rsidR="00CC111C" w:rsidRPr="00CC111C" w:rsidRDefault="00CC111C" w:rsidP="00D71AF5">
      <w:pPr>
        <w:pStyle w:val="LisaBodyt2"/>
        <w:spacing w:before="120"/>
        <w:rPr>
          <w:rFonts w:eastAsia="Calibri"/>
          <w:szCs w:val="22"/>
          <w:lang w:eastAsia="en-US"/>
        </w:rPr>
      </w:pPr>
      <w:r w:rsidRPr="00CC111C">
        <w:rPr>
          <w:rFonts w:eastAsia="Calibri"/>
          <w:szCs w:val="22"/>
          <w:lang w:eastAsia="en-US"/>
        </w:rPr>
        <w:t xml:space="preserve">Ainele arvutatud kontaktõppe tundide arv arvestatakse sellele struktuuriüksusele, mis on kinnitatud ainekaval. Kui ainekaval on kinnitatud mitu struktuuriüksust, siis jagatakse aine kontaktõppe tundide arv  struktuuriüksuste vahel vastavalt struktuuriüksuste poolt märgitud õpetamise  osakaaludele. Kui osakaale ei ole märgitud, siis jaguneb aine koormus struktuuriüksuste vahel võrdselt. Erandiks on ained, mille mitmest struktuuriüksusest vähemalt üks on regionaalne kolledž (Tartu, Virumaa või Kuressaare kolledž), sel juhul leitakse kui suur osa ainele deklareerinud üliõpilastest õpivad </w:t>
      </w:r>
      <w:proofErr w:type="spellStart"/>
      <w:r w:rsidRPr="00CC111C">
        <w:rPr>
          <w:rFonts w:eastAsia="Calibri"/>
          <w:szCs w:val="22"/>
          <w:lang w:eastAsia="en-US"/>
        </w:rPr>
        <w:t>ÕISi</w:t>
      </w:r>
      <w:proofErr w:type="spellEnd"/>
      <w:r w:rsidRPr="00CC111C">
        <w:rPr>
          <w:rFonts w:eastAsia="Calibri"/>
          <w:szCs w:val="22"/>
          <w:lang w:eastAsia="en-US"/>
        </w:rPr>
        <w:t xml:space="preserve"> andmetel regionaalses kolledžis ja käsitletakse kolledžis toimuvat õppetööd kui eraldi ainet, millele arvestatakse eraldi kontaktõppe tunnid.</w:t>
      </w:r>
    </w:p>
    <w:p w14:paraId="7E91810F" w14:textId="1A3E7B6A" w:rsidR="00CC111C" w:rsidRPr="00CC111C" w:rsidRDefault="00CC111C" w:rsidP="00D71AF5">
      <w:pPr>
        <w:pStyle w:val="Lisatekst"/>
        <w:rPr>
          <w:rFonts w:eastAsia="Calibri"/>
          <w:lang w:eastAsia="en-US"/>
        </w:rPr>
      </w:pPr>
      <w:bookmarkStart w:id="1" w:name="_Hlk109151285"/>
      <w:r w:rsidRPr="00CC111C">
        <w:rPr>
          <w:rFonts w:eastAsia="Calibri"/>
          <w:lang w:eastAsia="en-US"/>
        </w:rPr>
        <w:t>Lõputööde juhendamiste mahu arvestamise põhimõtted</w:t>
      </w:r>
    </w:p>
    <w:p w14:paraId="2F111349" w14:textId="54722B6F" w:rsidR="00CC111C" w:rsidRPr="00D71AF5" w:rsidRDefault="00CC111C" w:rsidP="00D71AF5">
      <w:pPr>
        <w:pStyle w:val="LisaBodyt"/>
        <w:spacing w:before="120"/>
        <w:rPr>
          <w:rFonts w:eastAsia="Calibri"/>
          <w:szCs w:val="22"/>
          <w:lang w:eastAsia="en-US"/>
        </w:rPr>
      </w:pPr>
      <w:r w:rsidRPr="00D71AF5">
        <w:rPr>
          <w:rFonts w:eastAsia="Calibri"/>
          <w:szCs w:val="22"/>
          <w:lang w:eastAsia="en-US"/>
        </w:rPr>
        <w:t>Tulemusliku lõputöö juhendamise tunnimäärad erinevatel õppeastmetel on määratud senati määrusega kehtestatud akadeemilise karjääri korralduses ja rektori käskkirjaga kehtestatud töökorralduse eeskirjas.</w:t>
      </w:r>
    </w:p>
    <w:p w14:paraId="67CE545E" w14:textId="77777777" w:rsidR="00D71AF5" w:rsidRDefault="00CC111C" w:rsidP="00D71AF5">
      <w:pPr>
        <w:pStyle w:val="LisaBodyt"/>
        <w:spacing w:before="120"/>
        <w:rPr>
          <w:rFonts w:eastAsia="Calibri"/>
          <w:szCs w:val="22"/>
          <w:lang w:eastAsia="en-US"/>
        </w:rPr>
      </w:pPr>
      <w:r w:rsidRPr="00CC111C">
        <w:rPr>
          <w:rFonts w:eastAsia="Calibri"/>
          <w:szCs w:val="22"/>
          <w:lang w:eastAsia="en-US"/>
        </w:rPr>
        <w:lastRenderedPageBreak/>
        <w:t xml:space="preserve">Lõputöö juhendamise maht arvestatakse sellele akadeemilisele struktuuriüksusele, millesse kuulus lõputöö juhendaja </w:t>
      </w:r>
      <w:proofErr w:type="spellStart"/>
      <w:r w:rsidRPr="00CC111C">
        <w:rPr>
          <w:rFonts w:eastAsia="Calibri"/>
          <w:szCs w:val="22"/>
          <w:lang w:eastAsia="en-US"/>
        </w:rPr>
        <w:t>ÕIS-i</w:t>
      </w:r>
      <w:proofErr w:type="spellEnd"/>
      <w:r w:rsidRPr="00CC111C">
        <w:rPr>
          <w:rFonts w:eastAsia="Calibri"/>
          <w:szCs w:val="22"/>
          <w:lang w:eastAsia="en-US"/>
        </w:rPr>
        <w:t xml:space="preserve"> andmetel arvestusperioodi lõpu (30. juuni) seisuga.</w:t>
      </w:r>
    </w:p>
    <w:p w14:paraId="6B17464E" w14:textId="77777777" w:rsidR="00D71AF5" w:rsidRDefault="00CC111C" w:rsidP="00D71AF5">
      <w:pPr>
        <w:pStyle w:val="LisaBodyt"/>
        <w:spacing w:before="120"/>
        <w:rPr>
          <w:rFonts w:eastAsia="Calibri"/>
          <w:szCs w:val="22"/>
          <w:lang w:eastAsia="en-US"/>
        </w:rPr>
      </w:pPr>
      <w:r w:rsidRPr="00CC111C">
        <w:rPr>
          <w:rFonts w:eastAsia="Calibri"/>
          <w:szCs w:val="22"/>
          <w:lang w:eastAsia="en-US"/>
        </w:rPr>
        <w:t xml:space="preserve">Kui ühel lõputööl on mitu juhendajat, siis jagatakse akadeemilise karjääri korralduses ja töökorralduse eeskirjas toodud juhendamise töömaht põhi- ja kaasjuhendaja(te) vahel vastavalt </w:t>
      </w:r>
      <w:proofErr w:type="spellStart"/>
      <w:r w:rsidRPr="00CC111C">
        <w:rPr>
          <w:rFonts w:eastAsia="Calibri"/>
          <w:szCs w:val="22"/>
          <w:lang w:eastAsia="en-US"/>
        </w:rPr>
        <w:t>ÕIS-is</w:t>
      </w:r>
      <w:proofErr w:type="spellEnd"/>
      <w:r w:rsidRPr="00CC111C">
        <w:rPr>
          <w:rFonts w:eastAsia="Calibri"/>
          <w:szCs w:val="22"/>
          <w:lang w:eastAsia="en-US"/>
        </w:rPr>
        <w:t xml:space="preserve"> määratud osakaaludele või kui osakaalud on määramata, siis loetakse 50% koormusest põhijuhendajale ning ülejäänud 50% jaguneb kaasjuhendajate vahel võrdselt.</w:t>
      </w:r>
    </w:p>
    <w:p w14:paraId="41AD3992" w14:textId="77777777" w:rsidR="00D71AF5" w:rsidRDefault="00CC111C" w:rsidP="00D71AF5">
      <w:pPr>
        <w:pStyle w:val="LisaBodyt"/>
        <w:spacing w:before="120"/>
        <w:rPr>
          <w:rFonts w:eastAsia="Calibri"/>
          <w:szCs w:val="22"/>
          <w:lang w:eastAsia="en-US"/>
        </w:rPr>
      </w:pPr>
      <w:r w:rsidRPr="00D71AF5">
        <w:rPr>
          <w:rFonts w:eastAsia="Calibri"/>
          <w:szCs w:val="22"/>
          <w:lang w:eastAsia="en-US"/>
        </w:rPr>
        <w:t xml:space="preserve">Kui kaasjuhendaja struktuuriüksust ei ole </w:t>
      </w:r>
      <w:proofErr w:type="spellStart"/>
      <w:r w:rsidRPr="00D71AF5">
        <w:rPr>
          <w:rFonts w:eastAsia="Calibri"/>
          <w:szCs w:val="22"/>
          <w:lang w:eastAsia="en-US"/>
        </w:rPr>
        <w:t>ÕIS-is</w:t>
      </w:r>
      <w:proofErr w:type="spellEnd"/>
      <w:r w:rsidRPr="00D71AF5">
        <w:rPr>
          <w:rFonts w:eastAsia="Calibri"/>
          <w:szCs w:val="22"/>
          <w:lang w:eastAsia="en-US"/>
        </w:rPr>
        <w:t xml:space="preserve"> määratud, siis arvestatakse selle kaasjuhendaja juhendamise koormus põhijuhendaja struktuuriüksusele.</w:t>
      </w:r>
    </w:p>
    <w:p w14:paraId="2E0285BD" w14:textId="77777777" w:rsidR="00D71AF5" w:rsidRDefault="00CC111C" w:rsidP="00D71AF5">
      <w:pPr>
        <w:pStyle w:val="LisaBodyt"/>
        <w:spacing w:before="120"/>
        <w:rPr>
          <w:rFonts w:eastAsia="Calibri"/>
          <w:szCs w:val="22"/>
          <w:lang w:eastAsia="en-US"/>
        </w:rPr>
      </w:pPr>
      <w:r w:rsidRPr="00D71AF5">
        <w:rPr>
          <w:rFonts w:eastAsia="Calibri"/>
          <w:szCs w:val="22"/>
          <w:lang w:eastAsia="en-US"/>
        </w:rPr>
        <w:t xml:space="preserve">Kui I või II astme lõputöö juhendaja on doktorant , kes ei ole </w:t>
      </w:r>
      <w:proofErr w:type="spellStart"/>
      <w:r w:rsidRPr="00D71AF5">
        <w:rPr>
          <w:rFonts w:eastAsia="Calibri"/>
          <w:szCs w:val="22"/>
          <w:lang w:eastAsia="en-US"/>
        </w:rPr>
        <w:t>ÕIS-i</w:t>
      </w:r>
      <w:proofErr w:type="spellEnd"/>
      <w:r w:rsidRPr="00D71AF5">
        <w:rPr>
          <w:rFonts w:eastAsia="Calibri"/>
          <w:szCs w:val="22"/>
          <w:lang w:eastAsia="en-US"/>
        </w:rPr>
        <w:t xml:space="preserve"> andmetel ühegi akadeemilise struktuuriüksuse töötaja, siis loetakse tema struktuuriüksuseks doktorandi põhijuhendaja  struktuuriüksus. </w:t>
      </w:r>
    </w:p>
    <w:p w14:paraId="0D0E73DF" w14:textId="77777777" w:rsidR="00D71AF5" w:rsidRDefault="00CC111C" w:rsidP="00D71AF5">
      <w:pPr>
        <w:pStyle w:val="LisaBodyt"/>
        <w:spacing w:before="120"/>
        <w:rPr>
          <w:rFonts w:eastAsia="Calibri"/>
          <w:szCs w:val="22"/>
          <w:lang w:eastAsia="en-US"/>
        </w:rPr>
      </w:pPr>
      <w:r w:rsidRPr="00D71AF5">
        <w:rPr>
          <w:rFonts w:eastAsia="Calibri"/>
          <w:szCs w:val="22"/>
          <w:lang w:eastAsia="en-US"/>
        </w:rPr>
        <w:t>I ja II astme lõputööde puhul arvestatakse õppeaasta töömahukuse hulka lõputööde juhendamised, mis kaitsti positiivsele hindele perioodil 1. juuli kuni 30 juuni.</w:t>
      </w:r>
    </w:p>
    <w:p w14:paraId="4AD91B82" w14:textId="77777777" w:rsidR="00D71AF5" w:rsidRDefault="00CC111C" w:rsidP="00D71AF5">
      <w:pPr>
        <w:pStyle w:val="LisaBodyt"/>
        <w:spacing w:before="120"/>
        <w:rPr>
          <w:rFonts w:eastAsia="Calibri"/>
          <w:szCs w:val="22"/>
          <w:lang w:eastAsia="en-US"/>
        </w:rPr>
      </w:pPr>
      <w:r w:rsidRPr="00D71AF5">
        <w:rPr>
          <w:rFonts w:eastAsia="Calibri"/>
          <w:szCs w:val="22"/>
          <w:lang w:eastAsia="en-US"/>
        </w:rPr>
        <w:t xml:space="preserve">Doktorantide juhendamise puhul arvestatakse õppeaasta töömahukuse hulka doktoritööde juhendamised, mis kaitsti või atesteeriti positiivselt vahemikus 1. juuli kuni 30 juuni. Kui positiivselt atesteeritud doktorant viibis perioodi jooksul akadeemilisel puhkusel kuni 6 kuud, siis arvestatakse juhendamise mahuks pool õppeaasta juhendamise tundide mahust, kui üle 6 kuu, siis selle õppeaasta eest juhendamiskoormust ei arvestata. </w:t>
      </w:r>
    </w:p>
    <w:p w14:paraId="60312106" w14:textId="493329D8" w:rsidR="00CC111C" w:rsidRPr="00D71AF5" w:rsidRDefault="00CC111C" w:rsidP="00D71AF5">
      <w:pPr>
        <w:pStyle w:val="LisaBodyt"/>
        <w:spacing w:before="120"/>
        <w:rPr>
          <w:rFonts w:eastAsia="Calibri"/>
          <w:szCs w:val="22"/>
          <w:lang w:eastAsia="en-US"/>
        </w:rPr>
      </w:pPr>
      <w:r w:rsidRPr="00D71AF5">
        <w:rPr>
          <w:rFonts w:eastAsia="Calibri"/>
          <w:szCs w:val="22"/>
          <w:lang w:eastAsia="en-US"/>
        </w:rPr>
        <w:t xml:space="preserve">Doktoritööde juhendamise mahu arvestamisest jäetakse välja juhendamised, kus:  </w:t>
      </w:r>
    </w:p>
    <w:p w14:paraId="68506E63" w14:textId="1CF45F7C" w:rsidR="00CC111C" w:rsidRPr="00CC111C" w:rsidRDefault="00CC111C" w:rsidP="00D71AF5">
      <w:pPr>
        <w:spacing w:before="120" w:after="160" w:line="259" w:lineRule="auto"/>
        <w:rPr>
          <w:rFonts w:eastAsia="Calibri"/>
          <w:szCs w:val="22"/>
          <w:lang w:eastAsia="en-US"/>
        </w:rPr>
      </w:pPr>
      <w:r w:rsidRPr="00CC111C">
        <w:rPr>
          <w:rFonts w:eastAsia="Calibri"/>
          <w:szCs w:val="22"/>
          <w:lang w:eastAsia="en-US"/>
        </w:rPr>
        <w:t>a) doktorandi  immatrikuleerimise kuupäevast on  arvestusperioodi alguseks möödas rohkem kui 5 aastat;</w:t>
      </w:r>
      <w:r w:rsidR="00D71AF5">
        <w:rPr>
          <w:rFonts w:eastAsia="Calibri"/>
          <w:szCs w:val="22"/>
          <w:lang w:eastAsia="en-US"/>
        </w:rPr>
        <w:br/>
      </w:r>
      <w:r w:rsidRPr="00CC111C">
        <w:rPr>
          <w:rFonts w:eastAsia="Calibri"/>
          <w:szCs w:val="22"/>
          <w:lang w:eastAsia="en-US"/>
        </w:rPr>
        <w:t>b) doktorant eksmatrikuleeriti arvestusperioodil muul põhjusel kui ülikooli lõpetamine.</w:t>
      </w:r>
      <w:bookmarkEnd w:id="1"/>
    </w:p>
    <w:p w14:paraId="1DE683AF" w14:textId="77777777" w:rsidR="00CC111C" w:rsidRPr="00CC111C" w:rsidRDefault="00CC111C" w:rsidP="00CC111C"/>
    <w:p w14:paraId="68AAC52B" w14:textId="72BA0C1D" w:rsidR="001F5F3F" w:rsidRPr="007D4EB8" w:rsidRDefault="001F5F3F" w:rsidP="00F44F64"/>
    <w:sectPr w:rsidR="001F5F3F" w:rsidRPr="007D4EB8" w:rsidSect="0098699A">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24C5E" w14:textId="77777777" w:rsidR="004452E0" w:rsidRDefault="004452E0">
      <w:r>
        <w:separator/>
      </w:r>
    </w:p>
  </w:endnote>
  <w:endnote w:type="continuationSeparator" w:id="0">
    <w:p w14:paraId="7B23A697" w14:textId="77777777" w:rsidR="004452E0" w:rsidRDefault="0044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E2C8" w14:textId="77777777" w:rsidR="00AE25FE" w:rsidRDefault="00D71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97061F" w14:textId="77777777" w:rsidR="00AE25FE" w:rsidRDefault="00445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C47AA" w14:textId="77777777" w:rsidR="004452E0" w:rsidRDefault="004452E0">
      <w:r>
        <w:separator/>
      </w:r>
    </w:p>
  </w:footnote>
  <w:footnote w:type="continuationSeparator" w:id="0">
    <w:p w14:paraId="70EE5877" w14:textId="77777777" w:rsidR="004452E0" w:rsidRDefault="0044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9DAD" w14:textId="77777777" w:rsidR="00AE25FE" w:rsidRDefault="00D71A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BCC2B" w14:textId="77777777" w:rsidR="00AE25FE" w:rsidRDefault="00445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8336"/>
      <w:docPartObj>
        <w:docPartGallery w:val="Page Numbers (Top of Page)"/>
        <w:docPartUnique/>
      </w:docPartObj>
    </w:sdtPr>
    <w:sdtEndPr/>
    <w:sdtContent>
      <w:p w14:paraId="34B21D34" w14:textId="77777777" w:rsidR="0098699A" w:rsidRDefault="00D71AF5">
        <w:pPr>
          <w:pStyle w:val="Header"/>
          <w:jc w:val="center"/>
        </w:pPr>
        <w:r>
          <w:fldChar w:fldCharType="begin"/>
        </w:r>
        <w:r>
          <w:instrText>PAGE   \* MERGEFORMAT</w:instrText>
        </w:r>
        <w:r>
          <w:fldChar w:fldCharType="separate"/>
        </w:r>
        <w:r w:rsidR="00C00604">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027A1"/>
    <w:multiLevelType w:val="multilevel"/>
    <w:tmpl w:val="17A2E5FE"/>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920156A"/>
    <w:multiLevelType w:val="multilevel"/>
    <w:tmpl w:val="F4AAA396"/>
    <w:lvl w:ilvl="0">
      <w:start w:val="1"/>
      <w:numFmt w:val="decimal"/>
      <w:suff w:val="space"/>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5BA63992"/>
    <w:multiLevelType w:val="multilevel"/>
    <w:tmpl w:val="F4AAA396"/>
    <w:lvl w:ilvl="0">
      <w:start w:val="1"/>
      <w:numFmt w:val="decimal"/>
      <w:suff w:val="space"/>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BB"/>
    <w:rsid w:val="000033B8"/>
    <w:rsid w:val="00005AB4"/>
    <w:rsid w:val="00014C87"/>
    <w:rsid w:val="00050C2A"/>
    <w:rsid w:val="00062145"/>
    <w:rsid w:val="00121F20"/>
    <w:rsid w:val="00124BA1"/>
    <w:rsid w:val="001469C5"/>
    <w:rsid w:val="0015159C"/>
    <w:rsid w:val="00166714"/>
    <w:rsid w:val="00191C92"/>
    <w:rsid w:val="00197DF0"/>
    <w:rsid w:val="001A48DE"/>
    <w:rsid w:val="001F5F3F"/>
    <w:rsid w:val="00216D52"/>
    <w:rsid w:val="00223C38"/>
    <w:rsid w:val="00230D83"/>
    <w:rsid w:val="002431BD"/>
    <w:rsid w:val="00252D3F"/>
    <w:rsid w:val="0026472F"/>
    <w:rsid w:val="00266E9B"/>
    <w:rsid w:val="0027461F"/>
    <w:rsid w:val="00281E41"/>
    <w:rsid w:val="002852FB"/>
    <w:rsid w:val="00286BBC"/>
    <w:rsid w:val="00296B12"/>
    <w:rsid w:val="002D5EAF"/>
    <w:rsid w:val="002F4CFD"/>
    <w:rsid w:val="002F539C"/>
    <w:rsid w:val="003111FD"/>
    <w:rsid w:val="003A5175"/>
    <w:rsid w:val="003B1E0E"/>
    <w:rsid w:val="003B3D76"/>
    <w:rsid w:val="003B5D1F"/>
    <w:rsid w:val="003E47C5"/>
    <w:rsid w:val="003E79CA"/>
    <w:rsid w:val="003F6316"/>
    <w:rsid w:val="0040173E"/>
    <w:rsid w:val="004452E0"/>
    <w:rsid w:val="00490791"/>
    <w:rsid w:val="00495549"/>
    <w:rsid w:val="004A1266"/>
    <w:rsid w:val="004A6074"/>
    <w:rsid w:val="004A7ED8"/>
    <w:rsid w:val="004B2413"/>
    <w:rsid w:val="004B56CD"/>
    <w:rsid w:val="004C4600"/>
    <w:rsid w:val="004E5E60"/>
    <w:rsid w:val="004F66FD"/>
    <w:rsid w:val="00512846"/>
    <w:rsid w:val="005261EC"/>
    <w:rsid w:val="00547406"/>
    <w:rsid w:val="00554804"/>
    <w:rsid w:val="005548D8"/>
    <w:rsid w:val="00581B1E"/>
    <w:rsid w:val="005916D1"/>
    <w:rsid w:val="00594466"/>
    <w:rsid w:val="005A1C49"/>
    <w:rsid w:val="005C0C52"/>
    <w:rsid w:val="005C7E55"/>
    <w:rsid w:val="005F36F5"/>
    <w:rsid w:val="005F76C6"/>
    <w:rsid w:val="00612761"/>
    <w:rsid w:val="0063142F"/>
    <w:rsid w:val="00631554"/>
    <w:rsid w:val="00652A11"/>
    <w:rsid w:val="006604B2"/>
    <w:rsid w:val="00675987"/>
    <w:rsid w:val="006779E5"/>
    <w:rsid w:val="006A6A39"/>
    <w:rsid w:val="006B325A"/>
    <w:rsid w:val="006C1159"/>
    <w:rsid w:val="006D053D"/>
    <w:rsid w:val="006D753A"/>
    <w:rsid w:val="006E0BE0"/>
    <w:rsid w:val="006E287D"/>
    <w:rsid w:val="00731C94"/>
    <w:rsid w:val="007402B4"/>
    <w:rsid w:val="00743E0A"/>
    <w:rsid w:val="00746F3A"/>
    <w:rsid w:val="00780A0D"/>
    <w:rsid w:val="00783994"/>
    <w:rsid w:val="00795AF6"/>
    <w:rsid w:val="007A4F68"/>
    <w:rsid w:val="007D4EB8"/>
    <w:rsid w:val="00800B6E"/>
    <w:rsid w:val="00820FD4"/>
    <w:rsid w:val="00821FA5"/>
    <w:rsid w:val="00844750"/>
    <w:rsid w:val="0086146B"/>
    <w:rsid w:val="008723A5"/>
    <w:rsid w:val="00881CF5"/>
    <w:rsid w:val="008952D3"/>
    <w:rsid w:val="008B6D49"/>
    <w:rsid w:val="008C544C"/>
    <w:rsid w:val="008C5C24"/>
    <w:rsid w:val="008D2DCA"/>
    <w:rsid w:val="008D3687"/>
    <w:rsid w:val="008F28A4"/>
    <w:rsid w:val="008F5199"/>
    <w:rsid w:val="00907AA9"/>
    <w:rsid w:val="009545D3"/>
    <w:rsid w:val="00961CAB"/>
    <w:rsid w:val="00965396"/>
    <w:rsid w:val="009B5254"/>
    <w:rsid w:val="009B7F3C"/>
    <w:rsid w:val="009D638A"/>
    <w:rsid w:val="009E47B5"/>
    <w:rsid w:val="009F71F0"/>
    <w:rsid w:val="00A003B2"/>
    <w:rsid w:val="00A02E2A"/>
    <w:rsid w:val="00A03E2A"/>
    <w:rsid w:val="00A51164"/>
    <w:rsid w:val="00A6532D"/>
    <w:rsid w:val="00A80116"/>
    <w:rsid w:val="00A80EC2"/>
    <w:rsid w:val="00A86954"/>
    <w:rsid w:val="00AB7B24"/>
    <w:rsid w:val="00AD5469"/>
    <w:rsid w:val="00AF673B"/>
    <w:rsid w:val="00B5337C"/>
    <w:rsid w:val="00B71485"/>
    <w:rsid w:val="00B77156"/>
    <w:rsid w:val="00BA5708"/>
    <w:rsid w:val="00BA614A"/>
    <w:rsid w:val="00BB7B8E"/>
    <w:rsid w:val="00BC5E2B"/>
    <w:rsid w:val="00C00604"/>
    <w:rsid w:val="00C0214C"/>
    <w:rsid w:val="00C3154A"/>
    <w:rsid w:val="00C50752"/>
    <w:rsid w:val="00C55AEF"/>
    <w:rsid w:val="00C720C2"/>
    <w:rsid w:val="00C82D40"/>
    <w:rsid w:val="00C92C38"/>
    <w:rsid w:val="00C940B0"/>
    <w:rsid w:val="00CA49F2"/>
    <w:rsid w:val="00CB170A"/>
    <w:rsid w:val="00CC001A"/>
    <w:rsid w:val="00CC111C"/>
    <w:rsid w:val="00CE5C8A"/>
    <w:rsid w:val="00CE6D74"/>
    <w:rsid w:val="00CF503E"/>
    <w:rsid w:val="00D22E9C"/>
    <w:rsid w:val="00D26F57"/>
    <w:rsid w:val="00D43664"/>
    <w:rsid w:val="00D50919"/>
    <w:rsid w:val="00D71AF5"/>
    <w:rsid w:val="00D82B72"/>
    <w:rsid w:val="00D9452F"/>
    <w:rsid w:val="00DA02DA"/>
    <w:rsid w:val="00DD10D0"/>
    <w:rsid w:val="00E00818"/>
    <w:rsid w:val="00E07B4D"/>
    <w:rsid w:val="00E33B87"/>
    <w:rsid w:val="00E44CAE"/>
    <w:rsid w:val="00E47576"/>
    <w:rsid w:val="00E51D5F"/>
    <w:rsid w:val="00E66704"/>
    <w:rsid w:val="00E7551A"/>
    <w:rsid w:val="00E8728E"/>
    <w:rsid w:val="00E94E83"/>
    <w:rsid w:val="00E969F6"/>
    <w:rsid w:val="00EA7DD5"/>
    <w:rsid w:val="00EB0250"/>
    <w:rsid w:val="00EB2FBB"/>
    <w:rsid w:val="00EC2034"/>
    <w:rsid w:val="00ED183F"/>
    <w:rsid w:val="00ED638D"/>
    <w:rsid w:val="00EE150D"/>
    <w:rsid w:val="00F06F8D"/>
    <w:rsid w:val="00F33E35"/>
    <w:rsid w:val="00F44F64"/>
    <w:rsid w:val="00F46FA9"/>
    <w:rsid w:val="00F51D10"/>
    <w:rsid w:val="00FC7613"/>
    <w:rsid w:val="00FD2870"/>
    <w:rsid w:val="00FE275A"/>
    <w:rsid w:val="00FF1D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
    </o:shapedefaults>
    <o:shapelayout v:ext="edit">
      <o:idmap v:ext="edit" data="1"/>
    </o:shapelayout>
  </w:shapeDefaults>
  <w:decimalSymbol w:val=","/>
  <w:listSeparator w:val=";"/>
  <w14:docId w14:val="68AAC4EF"/>
  <w15:docId w15:val="{930D0A69-0BC3-4B4F-B180-B5D404EC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9F6"/>
  </w:style>
  <w:style w:type="paragraph" w:styleId="Heading1">
    <w:name w:val="heading 1"/>
    <w:basedOn w:val="Normal"/>
    <w:next w:val="Normal"/>
    <w:qFormat/>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2"/>
      </w:numPr>
      <w:spacing w:before="120"/>
    </w:pPr>
  </w:style>
  <w:style w:type="paragraph" w:customStyle="1" w:styleId="Bodyt">
    <w:name w:val="Bodyt"/>
    <w:basedOn w:val="Normal"/>
    <w:rsid w:val="00A03E2A"/>
    <w:pPr>
      <w:numPr>
        <w:ilvl w:val="1"/>
        <w:numId w:val="2"/>
      </w:numPr>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Lisapealkiri">
    <w:name w:val="Lisapealkiri"/>
    <w:basedOn w:val="BodyText"/>
    <w:next w:val="BodyText"/>
    <w:qFormat/>
    <w:rsid w:val="00783994"/>
    <w:pPr>
      <w:tabs>
        <w:tab w:val="left" w:pos="6521"/>
      </w:tabs>
      <w:spacing w:before="280" w:after="280"/>
    </w:pPr>
    <w:rPr>
      <w:b/>
    </w:rPr>
  </w:style>
  <w:style w:type="paragraph" w:customStyle="1" w:styleId="Lisatekst">
    <w:name w:val="Lisatekst"/>
    <w:basedOn w:val="BodyText"/>
    <w:rsid w:val="00E07B4D"/>
    <w:pPr>
      <w:numPr>
        <w:numId w:val="3"/>
      </w:numPr>
      <w:tabs>
        <w:tab w:val="left" w:pos="6521"/>
      </w:tabs>
      <w:spacing w:before="120"/>
    </w:pPr>
  </w:style>
  <w:style w:type="paragraph" w:customStyle="1" w:styleId="LisaBodyt">
    <w:name w:val="LisaBodyt"/>
    <w:basedOn w:val="Bodyt"/>
    <w:qFormat/>
    <w:rsid w:val="00E07B4D"/>
    <w:pPr>
      <w:numPr>
        <w:numId w:val="3"/>
      </w:numPr>
      <w:spacing w:before="40"/>
    </w:pPr>
    <w:rPr>
      <w:rFonts w:eastAsia="Times New Roman"/>
      <w:szCs w:val="20"/>
    </w:rPr>
  </w:style>
  <w:style w:type="paragraph" w:customStyle="1" w:styleId="LisaBodyt2">
    <w:name w:val="LisaBodyt2"/>
    <w:basedOn w:val="LisaBodyt"/>
    <w:qFormat/>
    <w:rsid w:val="00E07B4D"/>
    <w:pPr>
      <w:numPr>
        <w:ilvl w:val="2"/>
      </w:numPr>
      <w:spacing w:before="0"/>
    </w:pPr>
  </w:style>
  <w:style w:type="paragraph" w:styleId="ListParagraph">
    <w:name w:val="List Paragraph"/>
    <w:basedOn w:val="Normal"/>
    <w:uiPriority w:val="34"/>
    <w:qFormat/>
    <w:rsid w:val="00E07B4D"/>
    <w:pPr>
      <w:ind w:left="720"/>
    </w:pPr>
    <w:rPr>
      <w:rFonts w:eastAsiaTheme="minorHAnsi"/>
      <w:szCs w:val="22"/>
      <w:lang w:eastAsia="en-US"/>
    </w:rPr>
  </w:style>
  <w:style w:type="paragraph" w:styleId="BalloonText">
    <w:name w:val="Balloon Text"/>
    <w:basedOn w:val="Normal"/>
    <w:link w:val="BalloonTextChar"/>
    <w:semiHidden/>
    <w:unhideWhenUsed/>
    <w:rsid w:val="00050C2A"/>
    <w:rPr>
      <w:rFonts w:ascii="Segoe UI" w:hAnsi="Segoe UI" w:cs="Segoe UI"/>
      <w:sz w:val="18"/>
      <w:szCs w:val="18"/>
    </w:rPr>
  </w:style>
  <w:style w:type="character" w:customStyle="1" w:styleId="BalloonTextChar">
    <w:name w:val="Balloon Text Char"/>
    <w:basedOn w:val="DefaultParagraphFont"/>
    <w:link w:val="BalloonText"/>
    <w:semiHidden/>
    <w:rsid w:val="00050C2A"/>
    <w:rPr>
      <w:rFonts w:ascii="Segoe UI" w:hAnsi="Segoe UI" w:cs="Segoe UI"/>
      <w:sz w:val="18"/>
      <w:szCs w:val="18"/>
    </w:rPr>
  </w:style>
  <w:style w:type="table" w:customStyle="1" w:styleId="TableGrid1">
    <w:name w:val="Table Grid1"/>
    <w:basedOn w:val="TableNormal"/>
    <w:next w:val="TableGrid"/>
    <w:uiPriority w:val="39"/>
    <w:rsid w:val="00CC111C"/>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4804"/>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39981">
      <w:bodyDiv w:val="1"/>
      <w:marLeft w:val="0"/>
      <w:marRight w:val="0"/>
      <w:marTop w:val="0"/>
      <w:marBottom w:val="0"/>
      <w:divBdr>
        <w:top w:val="none" w:sz="0" w:space="0" w:color="auto"/>
        <w:left w:val="none" w:sz="0" w:space="0" w:color="auto"/>
        <w:bottom w:val="none" w:sz="0" w:space="0" w:color="auto"/>
        <w:right w:val="none" w:sz="0" w:space="0" w:color="auto"/>
      </w:divBdr>
    </w:div>
    <w:div w:id="896477293">
      <w:bodyDiv w:val="1"/>
      <w:marLeft w:val="0"/>
      <w:marRight w:val="0"/>
      <w:marTop w:val="0"/>
      <w:marBottom w:val="0"/>
      <w:divBdr>
        <w:top w:val="none" w:sz="0" w:space="0" w:color="auto"/>
        <w:left w:val="none" w:sz="0" w:space="0" w:color="auto"/>
        <w:bottom w:val="none" w:sz="0" w:space="0" w:color="auto"/>
        <w:right w:val="none" w:sz="0" w:space="0" w:color="auto"/>
      </w:divBdr>
    </w:div>
    <w:div w:id="18036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20787CA4A384F84080BB680623ABB" ma:contentTypeVersion="13" ma:contentTypeDescription="Create a new document." ma:contentTypeScope="" ma:versionID="abab48ae6bbbf4fbf0311673529eff21">
  <xsd:schema xmlns:xsd="http://www.w3.org/2001/XMLSchema" xmlns:xs="http://www.w3.org/2001/XMLSchema" xmlns:p="http://schemas.microsoft.com/office/2006/metadata/properties" xmlns:ns3="575b4e49-cdfe-45f3-949d-db17dbe99bbe" xmlns:ns4="32569ba6-10fe-440b-b30d-d38e98d09056" targetNamespace="http://schemas.microsoft.com/office/2006/metadata/properties" ma:root="true" ma:fieldsID="ec93ddd9e3d1ad3921e26e79a21fbdfb" ns3:_="" ns4:_="">
    <xsd:import namespace="575b4e49-cdfe-45f3-949d-db17dbe99bbe"/>
    <xsd:import namespace="32569ba6-10fe-440b-b30d-d38e98d090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b4e49-cdfe-45f3-949d-db17dbe99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69ba6-10fe-440b-b30d-d38e98d09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FDA2B-4910-44A8-972F-4C0824C78DB9}">
  <ds:schemaRefs>
    <ds:schemaRef ds:uri="http://schemas.microsoft.com/sharepoint/v3/contenttype/forms"/>
  </ds:schemaRefs>
</ds:datastoreItem>
</file>

<file path=customXml/itemProps2.xml><?xml version="1.0" encoding="utf-8"?>
<ds:datastoreItem xmlns:ds="http://schemas.openxmlformats.org/officeDocument/2006/customXml" ds:itemID="{F15521FD-1C93-4C50-A971-69B79803E7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2105B9-E91A-4D03-A1B8-6C683E5A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b4e49-cdfe-45f3-949d-db17dbe99bbe"/>
    <ds:schemaRef ds:uri="32569ba6-10fe-440b-b30d-d38e98d09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Ethel Amjärv</dc:creator>
  <cp:keywords/>
  <dc:description/>
  <cp:lastModifiedBy>Kairi Schütz</cp:lastModifiedBy>
  <cp:revision>4</cp:revision>
  <cp:lastPrinted>2020-09-14T08:05:00Z</cp:lastPrinted>
  <dcterms:created xsi:type="dcterms:W3CDTF">2022-07-22T07:20:00Z</dcterms:created>
  <dcterms:modified xsi:type="dcterms:W3CDTF">2022-07-22T07:41:00Z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y fmtid="{D5CDD505-2E9C-101B-9397-08002B2CF9AE}" pid="11" name="ContentTypeId">
    <vt:lpwstr>0x010100C1920787CA4A384F84080BB680623ABB</vt:lpwstr>
  </property>
</Properties>
</file>