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B7E05" w14:textId="24E8C8C1" w:rsidR="00B3617D" w:rsidRDefault="00B3617D" w:rsidP="00890DF3">
      <w:pPr>
        <w:pStyle w:val="BodyR"/>
      </w:pPr>
      <w:r>
        <w:t>ALGTEKST-TERVIKTE</w:t>
      </w:r>
      <w:r w:rsidR="008A6BC1">
        <w:t>KS</w:t>
      </w:r>
      <w:r>
        <w:t>T</w:t>
      </w:r>
    </w:p>
    <w:p w14:paraId="4327DDBC" w14:textId="6979CFAA" w:rsidR="00B3617D" w:rsidRDefault="00B3617D" w:rsidP="00B3617D">
      <w:pPr>
        <w:pStyle w:val="BodyR"/>
        <w:jc w:val="left"/>
      </w:pPr>
      <w:r>
        <w:t>Kinnitatud rektori 19.12.2025 käskkirjaga nr 45</w:t>
      </w:r>
    </w:p>
    <w:p w14:paraId="37BBE156" w14:textId="77777777" w:rsidR="008A6BC1" w:rsidRDefault="008A6BC1" w:rsidP="00B3617D">
      <w:pPr>
        <w:pStyle w:val="BodyR"/>
        <w:jc w:val="left"/>
      </w:pPr>
    </w:p>
    <w:p w14:paraId="15716E18" w14:textId="6BAF4565" w:rsidR="00913C19" w:rsidRDefault="008A6BC1" w:rsidP="008A6BC1">
      <w:pPr>
        <w:pStyle w:val="BodyR"/>
        <w:jc w:val="left"/>
      </w:pPr>
      <w:r w:rsidRPr="008A6BC1">
        <w:t xml:space="preserve">Redaktsiooni jõustumise kuupäev: </w:t>
      </w:r>
      <w:r>
        <w:t>19.12.2025</w:t>
      </w:r>
    </w:p>
    <w:p w14:paraId="5E0E50F8" w14:textId="77777777" w:rsidR="008A6BC1" w:rsidRPr="001C72DD" w:rsidRDefault="008A6BC1" w:rsidP="008A6BC1">
      <w:pPr>
        <w:pStyle w:val="BodyR"/>
        <w:jc w:val="left"/>
      </w:pPr>
    </w:p>
    <w:p w14:paraId="60633944" w14:textId="77777777" w:rsidR="003434C4" w:rsidRDefault="003434C4" w:rsidP="003434C4">
      <w:r w:rsidRPr="00C306EB">
        <w:rPr>
          <w:b/>
          <w:bCs/>
        </w:rPr>
        <w:t>SOOLISE VÕRDÕIGUSLIKKUSE KAVA 2026-2030</w:t>
      </w:r>
      <w:r w:rsidRPr="00C306EB">
        <w:t> </w:t>
      </w:r>
    </w:p>
    <w:p w14:paraId="3BC8A71C" w14:textId="77777777" w:rsidR="003434C4" w:rsidRDefault="003434C4" w:rsidP="003434C4"/>
    <w:p w14:paraId="4F242DC5" w14:textId="77777777" w:rsidR="003434C4" w:rsidRDefault="003434C4" w:rsidP="003434C4">
      <w:r w:rsidRPr="00C306EB">
        <w:rPr>
          <w:b/>
          <w:bCs/>
        </w:rPr>
        <w:t>Sissejuhatus</w:t>
      </w:r>
      <w:r w:rsidRPr="00C306EB">
        <w:t> </w:t>
      </w:r>
    </w:p>
    <w:p w14:paraId="39FCC66B" w14:textId="77777777" w:rsidR="003434C4" w:rsidRPr="00C306EB" w:rsidRDefault="003434C4" w:rsidP="003434C4"/>
    <w:p w14:paraId="3154C745" w14:textId="77777777" w:rsidR="003434C4" w:rsidRPr="00C306EB" w:rsidRDefault="003434C4" w:rsidP="003434C4">
      <w:pPr>
        <w:spacing w:line="360" w:lineRule="auto"/>
        <w:jc w:val="both"/>
      </w:pPr>
      <w:r w:rsidRPr="00C306EB">
        <w:t>Tallinna Tehnikaülikool (TalTech) lähtub oma tegevustes põhimõttest, et kvaliteetne teadus-, õppe- ja töökorraldus saab toimida vaid keskkonnas, kus kõigil ülikooli liikmetel on võrdsed võimalused panustada, areneda ja osaleda. Sooline võrdõiguslikkus ning tasakaal akadeemilises kui tugistruktuuris on osa ülikooli hea juhtimise põhimõtetest, mõjutades otseselt teaduse kvaliteeti, töötajate heaolu ja ülikooli rahvusvahelist konkurentsivõimet. </w:t>
      </w:r>
    </w:p>
    <w:p w14:paraId="1C6D7816" w14:textId="77777777" w:rsidR="003434C4" w:rsidRPr="00C306EB" w:rsidRDefault="003434C4" w:rsidP="003434C4">
      <w:pPr>
        <w:spacing w:line="360" w:lineRule="auto"/>
        <w:jc w:val="both"/>
      </w:pPr>
      <w:r w:rsidRPr="00C306EB">
        <w:t>Käesolev soolise võrdõiguslikkuse kava on koostatud aastateks 2026–2030 ning tugineb eelnevatele </w:t>
      </w:r>
      <w:proofErr w:type="spellStart"/>
      <w:r w:rsidRPr="00C306EB">
        <w:t>TalTechi</w:t>
      </w:r>
      <w:proofErr w:type="spellEnd"/>
      <w:r w:rsidRPr="00C306EB">
        <w:t> tegevustele, Eesti ülikoolide headele praktikatele ning Euroopa Komisjoni juhistele, mis rõhutavad soolise võrdõiguslikkuse kavade rolli teadus- ja arendusasutuste rahastamises ning strateegilises juhtimises. Kava keskendub organisatsioonilistele muutustele ja tegevustele, mis toetavad  õiglast, läbipaistvat ja professionaalset ülikoolikultuuri. </w:t>
      </w:r>
    </w:p>
    <w:p w14:paraId="2EA4AB8D" w14:textId="77777777" w:rsidR="003434C4" w:rsidRDefault="003434C4" w:rsidP="003434C4">
      <w:pPr>
        <w:spacing w:line="360" w:lineRule="auto"/>
        <w:jc w:val="both"/>
      </w:pPr>
      <w:r w:rsidRPr="00C306EB">
        <w:t>Soolise võrdõiguslikkuse ja võrdse kohtlemise teemasid on ülikool varasemates strateegiates ja regulatsioonides käsitlenud. Töötajaskonna regulaarne analüüs ning selged protsessid diskrimineerimisjuhtumitest teavitamiseks ja lahendamiseks on loonud olulise eelduse põhimõtete järjepidevaks rakendamiseks. </w:t>
      </w:r>
    </w:p>
    <w:p w14:paraId="7E56059A" w14:textId="77777777" w:rsidR="003434C4" w:rsidRPr="00C306EB" w:rsidRDefault="003434C4" w:rsidP="003434C4">
      <w:pPr>
        <w:spacing w:line="360" w:lineRule="auto"/>
        <w:jc w:val="both"/>
      </w:pPr>
      <w:r w:rsidRPr="00C306EB">
        <w:t>2021. aastal kehtestatud lepitusmenetluse kord tagab läbipaistva ja ühtlustatud protsessi kõigi võrdse kohtlemise ja tööalaste konfliktide lahendamiseks ülikoolis.  </w:t>
      </w:r>
    </w:p>
    <w:p w14:paraId="4521ECCA" w14:textId="77777777" w:rsidR="003434C4" w:rsidRPr="00C306EB" w:rsidRDefault="003434C4" w:rsidP="003434C4">
      <w:pPr>
        <w:spacing w:line="360" w:lineRule="auto"/>
        <w:jc w:val="both"/>
      </w:pPr>
      <w:r w:rsidRPr="00C306EB">
        <w:t>Sellegipoolest näitavad töötajate seas läbiviidud uuringud ja lepingutingimuste analüüs mitmeid valdkondi, kus ülikool ootab arenguid:  </w:t>
      </w:r>
    </w:p>
    <w:p w14:paraId="4185E75C" w14:textId="77777777" w:rsidR="003434C4" w:rsidRPr="00C306EB" w:rsidRDefault="003434C4" w:rsidP="003434C4">
      <w:pPr>
        <w:numPr>
          <w:ilvl w:val="0"/>
          <w:numId w:val="13"/>
        </w:numPr>
        <w:spacing w:line="360" w:lineRule="auto"/>
        <w:jc w:val="both"/>
      </w:pPr>
      <w:r w:rsidRPr="00C306EB">
        <w:t>naiste osakaal väheneb akadeemilise karjääri kõrgematel kohtadel; </w:t>
      </w:r>
    </w:p>
    <w:p w14:paraId="4909966E" w14:textId="77777777" w:rsidR="003434C4" w:rsidRPr="00C306EB" w:rsidRDefault="003434C4" w:rsidP="003434C4">
      <w:pPr>
        <w:numPr>
          <w:ilvl w:val="0"/>
          <w:numId w:val="14"/>
        </w:numPr>
        <w:spacing w:line="360" w:lineRule="auto"/>
        <w:jc w:val="both"/>
      </w:pPr>
      <w:r w:rsidRPr="00C306EB">
        <w:t>osa akadeemilistel ametikohtadel töötavatest naistest ootavad ülikooli poolt enam tuge karjääritee kujundamisel; </w:t>
      </w:r>
    </w:p>
    <w:p w14:paraId="0FDCC3EB" w14:textId="77777777" w:rsidR="003434C4" w:rsidRPr="00C306EB" w:rsidRDefault="003434C4" w:rsidP="003434C4">
      <w:pPr>
        <w:numPr>
          <w:ilvl w:val="0"/>
          <w:numId w:val="15"/>
        </w:numPr>
        <w:spacing w:line="360" w:lineRule="auto"/>
        <w:jc w:val="both"/>
      </w:pPr>
      <w:r w:rsidRPr="00C306EB">
        <w:t>naiste üldine osakaal organisatsioonis on kõrgem kui </w:t>
      </w:r>
      <w:proofErr w:type="spellStart"/>
      <w:r w:rsidRPr="00C306EB">
        <w:t>naisjuhtide</w:t>
      </w:r>
      <w:proofErr w:type="spellEnd"/>
      <w:r w:rsidRPr="00C306EB">
        <w:t> osakaal; </w:t>
      </w:r>
    </w:p>
    <w:p w14:paraId="2354CC90" w14:textId="77777777" w:rsidR="003434C4" w:rsidRPr="00C306EB" w:rsidRDefault="003434C4" w:rsidP="003434C4">
      <w:pPr>
        <w:numPr>
          <w:ilvl w:val="0"/>
          <w:numId w:val="16"/>
        </w:numPr>
        <w:spacing w:line="360" w:lineRule="auto"/>
        <w:jc w:val="both"/>
      </w:pPr>
      <w:r w:rsidRPr="00C306EB">
        <w:t>organisatsioonikultuur, töökoormus, värbamispraktikad ja ligipääs otsustuskogudele ei pruugi kõikide töötajate võimalusi võrdselt toetada; </w:t>
      </w:r>
    </w:p>
    <w:p w14:paraId="07388104" w14:textId="77777777" w:rsidR="003434C4" w:rsidRDefault="003434C4" w:rsidP="003434C4">
      <w:pPr>
        <w:numPr>
          <w:ilvl w:val="0"/>
          <w:numId w:val="17"/>
        </w:numPr>
        <w:spacing w:line="360" w:lineRule="auto"/>
        <w:jc w:val="both"/>
      </w:pPr>
      <w:r w:rsidRPr="00C306EB">
        <w:t>soolise palgalõhe põhjuste analüüs ja vähendamine vajab süsteemsemat käsitlust. </w:t>
      </w:r>
    </w:p>
    <w:p w14:paraId="62DDBC34" w14:textId="77777777" w:rsidR="003434C4" w:rsidRPr="00C306EB" w:rsidRDefault="003434C4" w:rsidP="003434C4">
      <w:pPr>
        <w:spacing w:line="360" w:lineRule="auto"/>
        <w:ind w:left="720"/>
        <w:jc w:val="both"/>
      </w:pPr>
    </w:p>
    <w:p w14:paraId="1DBA1B9F" w14:textId="77777777" w:rsidR="003434C4" w:rsidRPr="00C306EB" w:rsidRDefault="003434C4" w:rsidP="003434C4">
      <w:pPr>
        <w:spacing w:line="360" w:lineRule="auto"/>
        <w:jc w:val="both"/>
      </w:pPr>
      <w:r w:rsidRPr="00C306EB">
        <w:rPr>
          <w:b/>
          <w:bCs/>
        </w:rPr>
        <w:t>Soolise võrdõiguslikkuse ja tasakaalu tagamise põhimõtted </w:t>
      </w:r>
      <w:proofErr w:type="spellStart"/>
      <w:r w:rsidRPr="00C306EB">
        <w:rPr>
          <w:b/>
          <w:bCs/>
        </w:rPr>
        <w:t>TalTechis</w:t>
      </w:r>
      <w:proofErr w:type="spellEnd"/>
      <w:r w:rsidRPr="00C306EB">
        <w:t> </w:t>
      </w:r>
    </w:p>
    <w:p w14:paraId="45FD2DA0" w14:textId="77777777" w:rsidR="003434C4" w:rsidRPr="00C306EB" w:rsidRDefault="003434C4" w:rsidP="003434C4">
      <w:pPr>
        <w:spacing w:line="360" w:lineRule="auto"/>
        <w:jc w:val="both"/>
      </w:pPr>
      <w:r w:rsidRPr="00C306EB">
        <w:t>Tallinna Tehnikaülikoolis tehtav võrdse kohtlemise alane tegevus edendab tervikuna ülikooli töötajate võrdset kohtlemist sõltumata nende soost, rahvusest, keelest, religioonist ja veendumustest, funktsionaalsetest võimetest, seksuaalsest </w:t>
      </w:r>
      <w:proofErr w:type="spellStart"/>
      <w:r w:rsidRPr="00C306EB">
        <w:t>sättumusest</w:t>
      </w:r>
      <w:proofErr w:type="spellEnd"/>
      <w:r w:rsidRPr="00C306EB">
        <w:t>, soolisest identiteedist ja vanusest.  </w:t>
      </w:r>
    </w:p>
    <w:p w14:paraId="1CCC2686" w14:textId="77777777" w:rsidR="003434C4" w:rsidRPr="00C306EB" w:rsidRDefault="003434C4" w:rsidP="003434C4">
      <w:pPr>
        <w:spacing w:line="360" w:lineRule="auto"/>
        <w:jc w:val="both"/>
      </w:pPr>
      <w:r w:rsidRPr="00C306EB">
        <w:t>Ülikooli arengukava 2026-2035 väärtustab soolise võrdõiguslikkuse edendamist: ülikoolipere on kokkuhoidev ning väärtustab eneseteostust, mõttevabadust ja mitmekesisust.  </w:t>
      </w:r>
    </w:p>
    <w:p w14:paraId="5EEE9C86" w14:textId="77777777" w:rsidR="003434C4" w:rsidRPr="00C306EB" w:rsidRDefault="003434C4" w:rsidP="003434C4">
      <w:pPr>
        <w:spacing w:line="360" w:lineRule="auto"/>
        <w:jc w:val="both"/>
      </w:pPr>
      <w:r w:rsidRPr="00C306EB">
        <w:lastRenderedPageBreak/>
        <w:t>Ülikool teeb sellest lähtuvalt püsivaid jõupingutusi soolise võrdõiguslikkuse tagamiseks lähtudes akadeemilisest eetikast ning luues töötajatele võrdsed karjäärivõimalused, õiglase tasukorralduse, võrdsed võimalused osalemiseks ülikooli juhtimises ja läbipaistva diskrimineerimisjuhtumite käsitlemise protsessi. Sooline tasakaal toob kaasa suurema mitmekesisuse ülikooli arengusse ja tugevdab ülikooli tegevuse usaldusväärsust.  </w:t>
      </w:r>
    </w:p>
    <w:p w14:paraId="02F7A337" w14:textId="77777777" w:rsidR="003434C4" w:rsidRPr="00C306EB" w:rsidRDefault="003434C4" w:rsidP="003434C4">
      <w:pPr>
        <w:spacing w:line="360" w:lineRule="auto"/>
        <w:jc w:val="both"/>
      </w:pPr>
      <w:r w:rsidRPr="00C306EB">
        <w:t>Soolise tasakaalu hindamisel lähtutakse eeldusest, et sooline jaotus karjääritee alumisel tasemel peegeldub järgmistel tasanditel. Selle saavutamiseks tuleb seada realistlikud eesmärgid, pidades silmas ülikooli tegevusvaldkonnas esinevat soolist jaotust väljaspool ülikooli. Värbamisvalikute tegemisel lähtutakse võrdsete kandidaatide korral valikuotsuste tegemisel muuhulgas ka soolise tasakaalu hoidmise eesmärgist. </w:t>
      </w:r>
    </w:p>
    <w:p w14:paraId="713D22FC" w14:textId="77777777" w:rsidR="003434C4" w:rsidRPr="00C306EB" w:rsidRDefault="003434C4" w:rsidP="003434C4">
      <w:pPr>
        <w:spacing w:line="360" w:lineRule="auto"/>
        <w:jc w:val="both"/>
      </w:pPr>
      <w:r w:rsidRPr="00C306EB">
        <w:t>Ülikoolis aktsepteeritakse erisusi karjääritee kulgemise kiiruse osas, mis on seotud perekondlike kohustuste täitmisega ja arvestatakse nende mõjuga töötaja kandideerimisel ja töö tulemuslikkuse hindamisel. </w:t>
      </w:r>
    </w:p>
    <w:p w14:paraId="51740B9E" w14:textId="77777777" w:rsidR="003434C4" w:rsidRPr="00C306EB" w:rsidRDefault="003434C4" w:rsidP="003434C4">
      <w:pPr>
        <w:spacing w:line="360" w:lineRule="auto"/>
        <w:jc w:val="both"/>
      </w:pPr>
      <w:r w:rsidRPr="00C306EB">
        <w:t>Ülikool panustab soolise võrdõiguslikkuse teadlikkuse tõstmisesse vastavalt võimalustele nii karjäärinõustamise alase tegevuse kui ka kommunikatsiooni tugevdamisega.  </w:t>
      </w:r>
    </w:p>
    <w:p w14:paraId="6BEE96B8" w14:textId="77777777" w:rsidR="003434C4" w:rsidRPr="00C306EB" w:rsidRDefault="003434C4" w:rsidP="003434C4">
      <w:pPr>
        <w:spacing w:line="360" w:lineRule="auto"/>
        <w:jc w:val="both"/>
      </w:pPr>
      <w:r w:rsidRPr="00C306EB">
        <w:t>Ülikooli soolise võrdõiguslikkuse alane tegevus on kooskõlas Euroopa teadlaste harta põhimõtetega.  </w:t>
      </w:r>
    </w:p>
    <w:p w14:paraId="3B190762" w14:textId="77777777" w:rsidR="003434C4" w:rsidRDefault="003434C4" w:rsidP="003434C4">
      <w:pPr>
        <w:spacing w:line="360" w:lineRule="auto"/>
        <w:jc w:val="both"/>
      </w:pPr>
      <w:r w:rsidRPr="00C306EB">
        <w:t>Ülikool jälgib regulaarselt ja avalikult soolise tasakaalu ja võrdõiguslikkuse näitajaid ning põhimõtete järgimist töösuhetes.  </w:t>
      </w:r>
    </w:p>
    <w:p w14:paraId="2310D475" w14:textId="77777777" w:rsidR="003434C4" w:rsidRPr="00C306EB" w:rsidRDefault="003434C4" w:rsidP="003434C4">
      <w:pPr>
        <w:spacing w:line="360" w:lineRule="auto"/>
        <w:jc w:val="both"/>
      </w:pPr>
    </w:p>
    <w:p w14:paraId="4A3CFBDD" w14:textId="77777777" w:rsidR="003434C4" w:rsidRPr="00C306EB" w:rsidRDefault="003434C4" w:rsidP="003434C4">
      <w:pPr>
        <w:spacing w:line="360" w:lineRule="auto"/>
        <w:jc w:val="both"/>
      </w:pPr>
      <w:r w:rsidRPr="00C306EB">
        <w:rPr>
          <w:b/>
          <w:bCs/>
        </w:rPr>
        <w:t>Tegevuskava meetmed ja nende rakendamine</w:t>
      </w:r>
      <w:r w:rsidRPr="00C306EB">
        <w:t> </w:t>
      </w:r>
    </w:p>
    <w:p w14:paraId="20972F25" w14:textId="77777777" w:rsidR="003434C4" w:rsidRPr="00C306EB" w:rsidRDefault="003434C4" w:rsidP="003434C4">
      <w:pPr>
        <w:spacing w:line="360" w:lineRule="auto"/>
        <w:jc w:val="both"/>
      </w:pPr>
      <w:r w:rsidRPr="00C306EB">
        <w:t>Tegevuskava näeb ette erinevaid tegevusi soolise võrdõiguslikkuse, soolise tasakaalu ja mitmekesisuse tagamiseks ülikoolis aastatel 2026–2030. </w:t>
      </w:r>
    </w:p>
    <w:p w14:paraId="62F85A75" w14:textId="77777777" w:rsidR="003434C4" w:rsidRPr="00C306EB" w:rsidRDefault="003434C4" w:rsidP="003434C4">
      <w:pPr>
        <w:spacing w:line="360" w:lineRule="auto"/>
        <w:jc w:val="both"/>
      </w:pPr>
      <w:r w:rsidRPr="00C306EB">
        <w:t>Soolise võrdõiguslikkuse edendamine on ülikooli juhtkonna vastutusala, milleks tagatakse vajalike ressursside olemasolu ja tegevuste lõimumine ülikooli juhtimissüsteemiga. Juhtkond määratleb tegevuste prioriteedid, kinnitab vastutajad ning vajadusel tõstatab olulisi valdkonnateemasid laiemaks aruteluks ülikoolis.  </w:t>
      </w:r>
    </w:p>
    <w:p w14:paraId="6CB3274C" w14:textId="77777777" w:rsidR="003434C4" w:rsidRPr="00C306EB" w:rsidRDefault="003434C4" w:rsidP="003434C4">
      <w:pPr>
        <w:spacing w:line="360" w:lineRule="auto"/>
        <w:jc w:val="both"/>
      </w:pPr>
      <w:r w:rsidRPr="00C306EB">
        <w:t>Personaliosakond vastutab selle eest, et soolise võrdõiguslikkuse ja soolise tasakaalu teemaga seotud juhendmaterjalid, mõõdikud ja tegevuste täitmise aruanded oleksid töötajatele selgelt ja hõlpsasti kättesaadavad. Sellega toetatakse läbipaistvat ja andmepõhist juhtimist ning võimaldatakse töötajatel mõista ning hinnata tegevuste mõju ülikooli arengule. </w:t>
      </w:r>
    </w:p>
    <w:p w14:paraId="2FF784EC" w14:textId="77777777" w:rsidR="003434C4" w:rsidRPr="00C306EB" w:rsidRDefault="003434C4" w:rsidP="003434C4">
      <w:pPr>
        <w:spacing w:line="360" w:lineRule="auto"/>
        <w:jc w:val="both"/>
      </w:pPr>
      <w:r w:rsidRPr="00C306EB">
        <w:t>Võrdse kohtlemise volinik vastutab soolise võrdõiguslikkuse ja soolise tasakaalu valdkonna igapäevase koordineerimise eest ning juhib tegevuskavas toodud meetmete elluviimist, koostab perioodilisi ülevaateid ja analüüsib valdkonna toimimise tõhusust.  </w:t>
      </w:r>
    </w:p>
    <w:p w14:paraId="45B32461" w14:textId="77777777" w:rsidR="003434C4" w:rsidRPr="00C306EB" w:rsidRDefault="003434C4" w:rsidP="003434C4">
      <w:pPr>
        <w:spacing w:line="360" w:lineRule="auto"/>
        <w:jc w:val="both"/>
      </w:pPr>
      <w:r w:rsidRPr="00C306EB">
        <w:t>Lisaks korraldab personaliosakond töötajate teavitamist soolise võrdõiguslikkuse ja soolise tasakaalu teemadest. Selleks lisatakse sisekoolituste kavasse vajalikud koolitused, korraldatakse teavitusüritusi ning koostatakse informatiivseid materjale, mis aitavad suurendada töötajate teadlikkust ja pädevust valdkonna teemadel. </w:t>
      </w:r>
    </w:p>
    <w:p w14:paraId="0487847E" w14:textId="77777777" w:rsidR="003434C4" w:rsidRPr="00C306EB" w:rsidRDefault="003434C4" w:rsidP="003434C4">
      <w:pPr>
        <w:spacing w:line="360" w:lineRule="auto"/>
        <w:jc w:val="both"/>
      </w:pPr>
      <w:r w:rsidRPr="00C306EB">
        <w:t> </w:t>
      </w:r>
    </w:p>
    <w:p w14:paraId="5DF294C9" w14:textId="77777777" w:rsidR="003434C4" w:rsidRPr="00C306EB" w:rsidRDefault="003434C4" w:rsidP="003434C4">
      <w:pPr>
        <w:spacing w:line="360" w:lineRule="auto"/>
        <w:jc w:val="both"/>
      </w:pPr>
      <w:r w:rsidRPr="00C306EB">
        <w:rPr>
          <w:b/>
          <w:bCs/>
        </w:rPr>
        <w:lastRenderedPageBreak/>
        <w:t>Ülikooli eesmärgid aastateks 2026-2030</w:t>
      </w:r>
      <w:r w:rsidRPr="00C306EB">
        <w:t> </w:t>
      </w:r>
    </w:p>
    <w:p w14:paraId="3E42DA02" w14:textId="77777777" w:rsidR="003434C4" w:rsidRPr="00C306EB" w:rsidRDefault="003434C4" w:rsidP="003434C4">
      <w:pPr>
        <w:spacing w:line="360" w:lineRule="auto"/>
        <w:jc w:val="both"/>
      </w:pPr>
      <w:r w:rsidRPr="00C306EB">
        <w:t>Ülikooli eesmärk on kujundada praktiline ja toimiv võrdse kohtlemise raamistik, mille tulemusel: </w:t>
      </w:r>
    </w:p>
    <w:p w14:paraId="25B2434A" w14:textId="77777777" w:rsidR="003434C4" w:rsidRPr="00C306EB" w:rsidRDefault="003434C4" w:rsidP="003434C4">
      <w:pPr>
        <w:numPr>
          <w:ilvl w:val="0"/>
          <w:numId w:val="18"/>
        </w:numPr>
        <w:spacing w:line="360" w:lineRule="auto"/>
        <w:jc w:val="both"/>
      </w:pPr>
      <w:r w:rsidRPr="00C306EB">
        <w:t>soolise võrdõiguslikkuse põhimõtted on loomulik osa igapäevasest juhtimises ja töökorraldusest; </w:t>
      </w:r>
    </w:p>
    <w:p w14:paraId="42CC2914" w14:textId="77777777" w:rsidR="003434C4" w:rsidRPr="00C306EB" w:rsidRDefault="003434C4" w:rsidP="003434C4">
      <w:pPr>
        <w:numPr>
          <w:ilvl w:val="0"/>
          <w:numId w:val="19"/>
        </w:numPr>
        <w:spacing w:line="360" w:lineRule="auto"/>
        <w:jc w:val="both"/>
      </w:pPr>
      <w:r w:rsidRPr="00C306EB">
        <w:t>teemakohased otsustusprotsessid on selged, läbipaistvad ja dokumenteeritud; </w:t>
      </w:r>
    </w:p>
    <w:p w14:paraId="2D50AAC6" w14:textId="77777777" w:rsidR="003434C4" w:rsidRPr="00C306EB" w:rsidRDefault="003434C4" w:rsidP="003434C4">
      <w:pPr>
        <w:numPr>
          <w:ilvl w:val="0"/>
          <w:numId w:val="20"/>
        </w:numPr>
        <w:spacing w:line="360" w:lineRule="auto"/>
        <w:jc w:val="both"/>
      </w:pPr>
      <w:r w:rsidRPr="00C306EB">
        <w:t>juhid tegelevad aktiivselt ebavõrdsuse ennetamisega ning loovad toetavad töötingimused. </w:t>
      </w:r>
    </w:p>
    <w:p w14:paraId="0AB444DA" w14:textId="77777777" w:rsidR="003434C4" w:rsidRPr="00C306EB" w:rsidRDefault="003434C4" w:rsidP="003434C4">
      <w:pPr>
        <w:spacing w:line="360" w:lineRule="auto"/>
        <w:jc w:val="both"/>
      </w:pPr>
      <w:r w:rsidRPr="00C306EB">
        <w:t>Selle saavutamiseks seatakse perioodil 2026-2030 kolm prioriteetset tegevussuunda: </w:t>
      </w:r>
    </w:p>
    <w:p w14:paraId="40C20748" w14:textId="77777777" w:rsidR="003434C4" w:rsidRPr="00C306EB" w:rsidRDefault="003434C4" w:rsidP="003434C4">
      <w:pPr>
        <w:numPr>
          <w:ilvl w:val="0"/>
          <w:numId w:val="21"/>
        </w:numPr>
        <w:spacing w:line="360" w:lineRule="auto"/>
        <w:jc w:val="both"/>
      </w:pPr>
      <w:r w:rsidRPr="00C306EB">
        <w:t>teadlikkuse suurendamine soolise võrdõiguslikkuse teemadel ja võrdõiguslikkuse põhimõtete seondumisest ülikooli tegevustega; </w:t>
      </w:r>
    </w:p>
    <w:p w14:paraId="6E9E35D0" w14:textId="77777777" w:rsidR="003434C4" w:rsidRPr="00C306EB" w:rsidRDefault="003434C4" w:rsidP="003434C4">
      <w:pPr>
        <w:numPr>
          <w:ilvl w:val="0"/>
          <w:numId w:val="22"/>
        </w:numPr>
        <w:spacing w:line="360" w:lineRule="auto"/>
        <w:jc w:val="both"/>
      </w:pPr>
      <w:r w:rsidRPr="00C306EB">
        <w:t>soolise võrdõiguslikkuse edendamine ülikoolis; </w:t>
      </w:r>
    </w:p>
    <w:p w14:paraId="4683528A" w14:textId="77777777" w:rsidR="003434C4" w:rsidRPr="00C306EB" w:rsidRDefault="003434C4" w:rsidP="003434C4">
      <w:pPr>
        <w:numPr>
          <w:ilvl w:val="0"/>
          <w:numId w:val="23"/>
        </w:numPr>
        <w:spacing w:line="360" w:lineRule="auto"/>
        <w:jc w:val="both"/>
      </w:pPr>
      <w:r w:rsidRPr="00C306EB">
        <w:t>värbamine ja karjääri areng </w:t>
      </w:r>
    </w:p>
    <w:p w14:paraId="37025A37" w14:textId="77777777" w:rsidR="003434C4" w:rsidRPr="00C306EB" w:rsidRDefault="003434C4" w:rsidP="003434C4">
      <w:pPr>
        <w:numPr>
          <w:ilvl w:val="0"/>
          <w:numId w:val="24"/>
        </w:numPr>
        <w:spacing w:line="360" w:lineRule="auto"/>
        <w:jc w:val="both"/>
      </w:pPr>
      <w:r w:rsidRPr="00C306EB">
        <w:t>töö ja eraelu tasakaalu toetamine </w:t>
      </w:r>
    </w:p>
    <w:p w14:paraId="55C36CF6" w14:textId="77777777" w:rsidR="003434C4" w:rsidRDefault="003434C4" w:rsidP="003434C4">
      <w:pPr>
        <w:numPr>
          <w:ilvl w:val="0"/>
          <w:numId w:val="25"/>
        </w:numPr>
        <w:spacing w:line="360" w:lineRule="auto"/>
        <w:jc w:val="both"/>
      </w:pPr>
      <w:r w:rsidRPr="00C306EB">
        <w:t>naiste osakaal juhtivatel ametikohtadel ja otsustuskogudes </w:t>
      </w:r>
    </w:p>
    <w:p w14:paraId="05B1FA1E" w14:textId="34235A7C" w:rsidR="003434C4" w:rsidRDefault="003434C4" w:rsidP="003434C4">
      <w:pPr>
        <w:numPr>
          <w:ilvl w:val="0"/>
          <w:numId w:val="22"/>
        </w:numPr>
        <w:spacing w:line="360" w:lineRule="auto"/>
        <w:jc w:val="both"/>
      </w:pPr>
      <w:r w:rsidRPr="00C306EB">
        <w:t>organisatsioonikultuuri edendamine. </w:t>
      </w:r>
    </w:p>
    <w:p w14:paraId="4B530383" w14:textId="77777777" w:rsidR="003434C4" w:rsidRDefault="003434C4">
      <w:r>
        <w:br w:type="page"/>
      </w:r>
    </w:p>
    <w:p w14:paraId="4ABAA8D5" w14:textId="77777777" w:rsidR="003434C4" w:rsidRDefault="003434C4" w:rsidP="003434C4">
      <w:pPr>
        <w:spacing w:line="360" w:lineRule="auto"/>
        <w:jc w:val="both"/>
        <w:sectPr w:rsidR="003434C4" w:rsidSect="0098699A">
          <w:headerReference w:type="even" r:id="rId10"/>
          <w:headerReference w:type="default" r:id="rId11"/>
          <w:footerReference w:type="even" r:id="rId12"/>
          <w:pgSz w:w="11906" w:h="16838" w:code="9"/>
          <w:pgMar w:top="680" w:right="851" w:bottom="680" w:left="1701" w:header="397" w:footer="510" w:gutter="0"/>
          <w:pgNumType w:start="1"/>
          <w:cols w:space="708"/>
          <w:titlePg/>
          <w:docGrid w:linePitch="299"/>
        </w:sectPr>
      </w:pPr>
    </w:p>
    <w:p w14:paraId="6540994A" w14:textId="77777777" w:rsidR="003434C4" w:rsidRPr="003434C4" w:rsidRDefault="003434C4" w:rsidP="003434C4">
      <w:pPr>
        <w:spacing w:line="360" w:lineRule="auto"/>
        <w:jc w:val="both"/>
        <w:rPr>
          <w:rFonts w:asciiTheme="minorHAnsi" w:hAnsiTheme="minorHAnsi" w:cstheme="minorHAnsi"/>
          <w:szCs w:val="22"/>
        </w:rPr>
      </w:pPr>
      <w:r w:rsidRPr="003434C4">
        <w:rPr>
          <w:rFonts w:asciiTheme="minorHAnsi" w:hAnsiTheme="minorHAnsi" w:cstheme="minorHAnsi"/>
          <w:szCs w:val="22"/>
        </w:rPr>
        <w:lastRenderedPageBreak/>
        <w:t>Tegevused nende eesmärkide saavutamiseks on järgmised: </w:t>
      </w:r>
    </w:p>
    <w:tbl>
      <w:tblPr>
        <w:tblW w:w="15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1"/>
        <w:gridCol w:w="5504"/>
      </w:tblGrid>
      <w:tr w:rsidR="003434C4" w:rsidRPr="003434C4" w14:paraId="72391F39" w14:textId="77777777" w:rsidTr="003434C4">
        <w:trPr>
          <w:trHeight w:val="300"/>
        </w:trPr>
        <w:tc>
          <w:tcPr>
            <w:tcW w:w="9631" w:type="dxa"/>
            <w:tcBorders>
              <w:top w:val="single" w:sz="6" w:space="0" w:color="auto"/>
              <w:left w:val="single" w:sz="6" w:space="0" w:color="auto"/>
              <w:bottom w:val="single" w:sz="6" w:space="0" w:color="auto"/>
              <w:right w:val="single" w:sz="6" w:space="0" w:color="auto"/>
            </w:tcBorders>
            <w:shd w:val="clear" w:color="auto" w:fill="ACB9CA"/>
            <w:hideMark/>
          </w:tcPr>
          <w:p w14:paraId="58B1D5AC" w14:textId="1D482192" w:rsidR="003434C4" w:rsidRPr="003434C4" w:rsidRDefault="003434C4" w:rsidP="003434C4">
            <w:pPr>
              <w:spacing w:line="360" w:lineRule="auto"/>
              <w:jc w:val="both"/>
              <w:rPr>
                <w:rFonts w:asciiTheme="minorHAnsi" w:hAnsiTheme="minorHAnsi" w:cstheme="minorHAnsi"/>
                <w:szCs w:val="22"/>
              </w:rPr>
            </w:pPr>
            <w:r w:rsidRPr="003434C4">
              <w:rPr>
                <w:rFonts w:asciiTheme="minorHAnsi" w:hAnsiTheme="minorHAnsi" w:cstheme="minorHAnsi"/>
                <w:szCs w:val="22"/>
              </w:rPr>
              <w:t> </w:t>
            </w:r>
            <w:r w:rsidRPr="003434C4">
              <w:rPr>
                <w:rFonts w:asciiTheme="minorHAnsi" w:hAnsiTheme="minorHAnsi" w:cstheme="minorHAnsi"/>
                <w:b/>
                <w:bCs/>
                <w:szCs w:val="22"/>
              </w:rPr>
              <w:t>Tegevus</w:t>
            </w:r>
            <w:r w:rsidRPr="003434C4">
              <w:rPr>
                <w:rFonts w:asciiTheme="minorHAnsi" w:hAnsiTheme="minorHAnsi" w:cstheme="minorHAnsi"/>
                <w:szCs w:val="22"/>
              </w:rPr>
              <w:t> </w:t>
            </w:r>
          </w:p>
        </w:tc>
        <w:tc>
          <w:tcPr>
            <w:tcW w:w="5504" w:type="dxa"/>
            <w:tcBorders>
              <w:top w:val="single" w:sz="6" w:space="0" w:color="auto"/>
              <w:left w:val="single" w:sz="6" w:space="0" w:color="auto"/>
              <w:bottom w:val="single" w:sz="6" w:space="0" w:color="auto"/>
              <w:right w:val="single" w:sz="6" w:space="0" w:color="auto"/>
            </w:tcBorders>
            <w:shd w:val="clear" w:color="auto" w:fill="ACB9CA"/>
            <w:hideMark/>
          </w:tcPr>
          <w:p w14:paraId="0BD129B1" w14:textId="7A5310D2" w:rsidR="003434C4" w:rsidRPr="003434C4" w:rsidRDefault="003434C4" w:rsidP="003434C4">
            <w:pPr>
              <w:spacing w:line="360" w:lineRule="auto"/>
              <w:jc w:val="both"/>
              <w:rPr>
                <w:rFonts w:asciiTheme="minorHAnsi" w:hAnsiTheme="minorHAnsi" w:cstheme="minorHAnsi"/>
                <w:szCs w:val="22"/>
              </w:rPr>
            </w:pPr>
            <w:r w:rsidRPr="003434C4">
              <w:rPr>
                <w:rFonts w:asciiTheme="minorHAnsi" w:hAnsiTheme="minorHAnsi" w:cstheme="minorHAnsi"/>
                <w:b/>
                <w:bCs/>
                <w:szCs w:val="22"/>
              </w:rPr>
              <w:t>Eestvedaja/vastutaja</w:t>
            </w:r>
            <w:r w:rsidRPr="003434C4">
              <w:rPr>
                <w:rFonts w:asciiTheme="minorHAnsi" w:hAnsiTheme="minorHAnsi" w:cstheme="minorHAnsi"/>
                <w:szCs w:val="22"/>
              </w:rPr>
              <w:t> </w:t>
            </w:r>
          </w:p>
        </w:tc>
      </w:tr>
      <w:tr w:rsidR="003434C4" w:rsidRPr="003434C4" w14:paraId="77252EB3" w14:textId="77777777" w:rsidTr="003434C4">
        <w:trPr>
          <w:trHeight w:val="300"/>
        </w:trPr>
        <w:tc>
          <w:tcPr>
            <w:tcW w:w="9631" w:type="dxa"/>
            <w:tcBorders>
              <w:top w:val="single" w:sz="6" w:space="0" w:color="auto"/>
              <w:left w:val="single" w:sz="6" w:space="0" w:color="auto"/>
              <w:bottom w:val="single" w:sz="6" w:space="0" w:color="auto"/>
              <w:right w:val="single" w:sz="6" w:space="0" w:color="auto"/>
            </w:tcBorders>
            <w:hideMark/>
          </w:tcPr>
          <w:p w14:paraId="146FC931" w14:textId="77777777" w:rsidR="003434C4" w:rsidRPr="003434C4" w:rsidRDefault="003434C4" w:rsidP="003434C4">
            <w:pPr>
              <w:numPr>
                <w:ilvl w:val="0"/>
                <w:numId w:val="26"/>
              </w:numPr>
              <w:rPr>
                <w:rFonts w:asciiTheme="minorHAnsi" w:hAnsiTheme="minorHAnsi" w:cstheme="minorHAnsi"/>
                <w:b/>
                <w:bCs/>
                <w:szCs w:val="22"/>
              </w:rPr>
            </w:pPr>
            <w:r w:rsidRPr="003434C4">
              <w:rPr>
                <w:rFonts w:asciiTheme="minorHAnsi" w:hAnsiTheme="minorHAnsi" w:cstheme="minorHAnsi"/>
                <w:b/>
                <w:bCs/>
                <w:szCs w:val="22"/>
              </w:rPr>
              <w:t>Teadlikkuse suurendamine soolise võrdõiguslikkuse teemadel </w:t>
            </w:r>
          </w:p>
        </w:tc>
        <w:tc>
          <w:tcPr>
            <w:tcW w:w="5504" w:type="dxa"/>
            <w:tcBorders>
              <w:top w:val="single" w:sz="6" w:space="0" w:color="auto"/>
              <w:left w:val="single" w:sz="6" w:space="0" w:color="auto"/>
              <w:bottom w:val="single" w:sz="6" w:space="0" w:color="auto"/>
              <w:right w:val="single" w:sz="6" w:space="0" w:color="auto"/>
            </w:tcBorders>
            <w:hideMark/>
          </w:tcPr>
          <w:p w14:paraId="1F861D77" w14:textId="77777777" w:rsidR="003434C4" w:rsidRPr="003434C4" w:rsidRDefault="003434C4" w:rsidP="003434C4">
            <w:pPr>
              <w:rPr>
                <w:rFonts w:asciiTheme="minorHAnsi" w:hAnsiTheme="minorHAnsi" w:cstheme="minorHAnsi"/>
                <w:b/>
                <w:bCs/>
                <w:szCs w:val="22"/>
              </w:rPr>
            </w:pPr>
            <w:r w:rsidRPr="003434C4">
              <w:rPr>
                <w:rFonts w:asciiTheme="minorHAnsi" w:hAnsiTheme="minorHAnsi" w:cstheme="minorHAnsi"/>
                <w:b/>
                <w:bCs/>
                <w:szCs w:val="22"/>
              </w:rPr>
              <w:t> </w:t>
            </w:r>
          </w:p>
        </w:tc>
      </w:tr>
      <w:tr w:rsidR="003434C4" w:rsidRPr="003434C4" w14:paraId="304B1A7A" w14:textId="77777777" w:rsidTr="003434C4">
        <w:trPr>
          <w:trHeight w:val="300"/>
        </w:trPr>
        <w:tc>
          <w:tcPr>
            <w:tcW w:w="9631" w:type="dxa"/>
            <w:tcBorders>
              <w:top w:val="single" w:sz="6" w:space="0" w:color="auto"/>
              <w:left w:val="single" w:sz="6" w:space="0" w:color="auto"/>
              <w:bottom w:val="single" w:sz="6" w:space="0" w:color="auto"/>
              <w:right w:val="single" w:sz="6" w:space="0" w:color="auto"/>
            </w:tcBorders>
            <w:hideMark/>
          </w:tcPr>
          <w:p w14:paraId="687D8C60" w14:textId="77777777" w:rsidR="003434C4" w:rsidRPr="003434C4" w:rsidRDefault="003434C4" w:rsidP="003434C4">
            <w:pPr>
              <w:rPr>
                <w:rFonts w:asciiTheme="minorHAnsi" w:hAnsiTheme="minorHAnsi" w:cstheme="minorHAnsi"/>
                <w:szCs w:val="22"/>
              </w:rPr>
            </w:pPr>
            <w:r w:rsidRPr="003434C4">
              <w:rPr>
                <w:rFonts w:asciiTheme="minorHAnsi" w:hAnsiTheme="minorHAnsi" w:cstheme="minorHAnsi"/>
                <w:szCs w:val="22"/>
              </w:rPr>
              <w:t>Juhtide teadlikkuse tõstmine soolise võrdõiguslikkuse teemadel </w:t>
            </w:r>
          </w:p>
        </w:tc>
        <w:tc>
          <w:tcPr>
            <w:tcW w:w="5504" w:type="dxa"/>
            <w:tcBorders>
              <w:top w:val="single" w:sz="6" w:space="0" w:color="auto"/>
              <w:left w:val="single" w:sz="6" w:space="0" w:color="auto"/>
              <w:bottom w:val="single" w:sz="6" w:space="0" w:color="auto"/>
              <w:right w:val="single" w:sz="6" w:space="0" w:color="auto"/>
            </w:tcBorders>
            <w:hideMark/>
          </w:tcPr>
          <w:p w14:paraId="337F28C0" w14:textId="77777777" w:rsidR="003434C4" w:rsidRPr="003434C4" w:rsidRDefault="003434C4" w:rsidP="003434C4">
            <w:pPr>
              <w:rPr>
                <w:rFonts w:asciiTheme="minorHAnsi" w:hAnsiTheme="minorHAnsi" w:cstheme="minorHAnsi"/>
                <w:szCs w:val="22"/>
              </w:rPr>
            </w:pPr>
            <w:r w:rsidRPr="003434C4">
              <w:rPr>
                <w:rFonts w:asciiTheme="minorHAnsi" w:hAnsiTheme="minorHAnsi" w:cstheme="minorHAnsi"/>
                <w:szCs w:val="22"/>
              </w:rPr>
              <w:t>Personaliosakond </w:t>
            </w:r>
          </w:p>
        </w:tc>
      </w:tr>
      <w:tr w:rsidR="003434C4" w:rsidRPr="003434C4" w14:paraId="72DD2610" w14:textId="77777777" w:rsidTr="003434C4">
        <w:trPr>
          <w:trHeight w:val="300"/>
        </w:trPr>
        <w:tc>
          <w:tcPr>
            <w:tcW w:w="9631" w:type="dxa"/>
            <w:tcBorders>
              <w:top w:val="single" w:sz="6" w:space="0" w:color="auto"/>
              <w:left w:val="single" w:sz="6" w:space="0" w:color="auto"/>
              <w:bottom w:val="single" w:sz="6" w:space="0" w:color="auto"/>
              <w:right w:val="single" w:sz="6" w:space="0" w:color="auto"/>
            </w:tcBorders>
            <w:hideMark/>
          </w:tcPr>
          <w:p w14:paraId="4C439429" w14:textId="77777777" w:rsidR="003434C4" w:rsidRPr="003434C4" w:rsidRDefault="003434C4" w:rsidP="003434C4">
            <w:pPr>
              <w:rPr>
                <w:rFonts w:asciiTheme="minorHAnsi" w:hAnsiTheme="minorHAnsi" w:cstheme="minorHAnsi"/>
                <w:szCs w:val="22"/>
              </w:rPr>
            </w:pPr>
            <w:r w:rsidRPr="003434C4">
              <w:rPr>
                <w:rFonts w:asciiTheme="minorHAnsi" w:hAnsiTheme="minorHAnsi" w:cstheme="minorHAnsi"/>
                <w:szCs w:val="22"/>
              </w:rPr>
              <w:t>Info jagamine ülikooli diskrimineerimise vastaste korralduste kohta </w:t>
            </w:r>
          </w:p>
        </w:tc>
        <w:tc>
          <w:tcPr>
            <w:tcW w:w="5504" w:type="dxa"/>
            <w:tcBorders>
              <w:top w:val="single" w:sz="6" w:space="0" w:color="auto"/>
              <w:left w:val="single" w:sz="6" w:space="0" w:color="auto"/>
              <w:bottom w:val="single" w:sz="6" w:space="0" w:color="auto"/>
              <w:right w:val="single" w:sz="6" w:space="0" w:color="auto"/>
            </w:tcBorders>
            <w:hideMark/>
          </w:tcPr>
          <w:p w14:paraId="5797BA91" w14:textId="77777777" w:rsidR="003434C4" w:rsidRPr="003434C4" w:rsidRDefault="003434C4" w:rsidP="003434C4">
            <w:pPr>
              <w:rPr>
                <w:rFonts w:asciiTheme="minorHAnsi" w:hAnsiTheme="minorHAnsi" w:cstheme="minorHAnsi"/>
                <w:szCs w:val="22"/>
              </w:rPr>
            </w:pPr>
            <w:r w:rsidRPr="003434C4">
              <w:rPr>
                <w:rFonts w:asciiTheme="minorHAnsi" w:hAnsiTheme="minorHAnsi" w:cstheme="minorHAnsi"/>
                <w:szCs w:val="22"/>
              </w:rPr>
              <w:t>Personaliosakond </w:t>
            </w:r>
          </w:p>
        </w:tc>
      </w:tr>
      <w:tr w:rsidR="003434C4" w:rsidRPr="003434C4" w14:paraId="35983AF6" w14:textId="77777777" w:rsidTr="003434C4">
        <w:trPr>
          <w:trHeight w:val="300"/>
        </w:trPr>
        <w:tc>
          <w:tcPr>
            <w:tcW w:w="9631" w:type="dxa"/>
            <w:tcBorders>
              <w:top w:val="single" w:sz="6" w:space="0" w:color="auto"/>
              <w:left w:val="single" w:sz="6" w:space="0" w:color="auto"/>
              <w:bottom w:val="single" w:sz="6" w:space="0" w:color="auto"/>
              <w:right w:val="single" w:sz="6" w:space="0" w:color="auto"/>
            </w:tcBorders>
            <w:hideMark/>
          </w:tcPr>
          <w:p w14:paraId="290A2867" w14:textId="77777777" w:rsidR="003434C4" w:rsidRPr="003434C4" w:rsidRDefault="003434C4" w:rsidP="003434C4">
            <w:pPr>
              <w:rPr>
                <w:rFonts w:asciiTheme="minorHAnsi" w:hAnsiTheme="minorHAnsi" w:cstheme="minorHAnsi"/>
                <w:szCs w:val="22"/>
              </w:rPr>
            </w:pPr>
            <w:r w:rsidRPr="003434C4">
              <w:rPr>
                <w:rFonts w:asciiTheme="minorHAnsi" w:hAnsiTheme="minorHAnsi" w:cstheme="minorHAnsi"/>
                <w:szCs w:val="22"/>
              </w:rPr>
              <w:t>Olemasolevate menetlussüsteemide (vihje andmise kord, lepitusmenetluse kord jms) parendamine </w:t>
            </w:r>
          </w:p>
        </w:tc>
        <w:tc>
          <w:tcPr>
            <w:tcW w:w="5504" w:type="dxa"/>
            <w:tcBorders>
              <w:top w:val="single" w:sz="6" w:space="0" w:color="auto"/>
              <w:left w:val="single" w:sz="6" w:space="0" w:color="auto"/>
              <w:bottom w:val="single" w:sz="6" w:space="0" w:color="auto"/>
              <w:right w:val="single" w:sz="6" w:space="0" w:color="auto"/>
            </w:tcBorders>
            <w:hideMark/>
          </w:tcPr>
          <w:p w14:paraId="05BCC32D" w14:textId="77777777" w:rsidR="003434C4" w:rsidRPr="003434C4" w:rsidRDefault="003434C4" w:rsidP="003434C4">
            <w:pPr>
              <w:rPr>
                <w:rFonts w:asciiTheme="minorHAnsi" w:hAnsiTheme="minorHAnsi" w:cstheme="minorHAnsi"/>
                <w:szCs w:val="22"/>
              </w:rPr>
            </w:pPr>
            <w:r w:rsidRPr="003434C4">
              <w:rPr>
                <w:rFonts w:asciiTheme="minorHAnsi" w:hAnsiTheme="minorHAnsi" w:cstheme="minorHAnsi"/>
                <w:szCs w:val="22"/>
              </w:rPr>
              <w:t>Personaliosakond </w:t>
            </w:r>
          </w:p>
        </w:tc>
      </w:tr>
      <w:tr w:rsidR="003434C4" w:rsidRPr="003434C4" w14:paraId="62CE8A35" w14:textId="77777777" w:rsidTr="003434C4">
        <w:trPr>
          <w:trHeight w:val="300"/>
        </w:trPr>
        <w:tc>
          <w:tcPr>
            <w:tcW w:w="9631" w:type="dxa"/>
            <w:tcBorders>
              <w:top w:val="single" w:sz="6" w:space="0" w:color="auto"/>
              <w:left w:val="single" w:sz="6" w:space="0" w:color="auto"/>
              <w:bottom w:val="single" w:sz="6" w:space="0" w:color="auto"/>
              <w:right w:val="single" w:sz="6" w:space="0" w:color="auto"/>
            </w:tcBorders>
            <w:hideMark/>
          </w:tcPr>
          <w:p w14:paraId="2C1AD040" w14:textId="77777777" w:rsidR="003434C4" w:rsidRPr="003434C4" w:rsidRDefault="003434C4" w:rsidP="003434C4">
            <w:pPr>
              <w:rPr>
                <w:rFonts w:asciiTheme="minorHAnsi" w:hAnsiTheme="minorHAnsi" w:cstheme="minorHAnsi"/>
                <w:szCs w:val="22"/>
              </w:rPr>
            </w:pPr>
            <w:r w:rsidRPr="003434C4">
              <w:rPr>
                <w:rFonts w:asciiTheme="minorHAnsi" w:hAnsiTheme="minorHAnsi" w:cstheme="minorHAnsi"/>
                <w:szCs w:val="22"/>
              </w:rPr>
              <w:t>Soolist tasakaalu ja palgalõhet puudutavate andmete kogumine ja nende alusel regulaarne ülikooli töötajate informeerimine </w:t>
            </w:r>
          </w:p>
        </w:tc>
        <w:tc>
          <w:tcPr>
            <w:tcW w:w="5504" w:type="dxa"/>
            <w:tcBorders>
              <w:top w:val="single" w:sz="6" w:space="0" w:color="auto"/>
              <w:left w:val="single" w:sz="6" w:space="0" w:color="auto"/>
              <w:bottom w:val="single" w:sz="6" w:space="0" w:color="auto"/>
              <w:right w:val="single" w:sz="6" w:space="0" w:color="auto"/>
            </w:tcBorders>
            <w:hideMark/>
          </w:tcPr>
          <w:p w14:paraId="1BB3FBC6" w14:textId="77777777" w:rsidR="003434C4" w:rsidRPr="003434C4" w:rsidRDefault="003434C4" w:rsidP="003434C4">
            <w:pPr>
              <w:rPr>
                <w:rFonts w:asciiTheme="minorHAnsi" w:hAnsiTheme="minorHAnsi" w:cstheme="minorHAnsi"/>
                <w:szCs w:val="22"/>
              </w:rPr>
            </w:pPr>
            <w:r w:rsidRPr="003434C4">
              <w:rPr>
                <w:rFonts w:asciiTheme="minorHAnsi" w:hAnsiTheme="minorHAnsi" w:cstheme="minorHAnsi"/>
                <w:szCs w:val="22"/>
              </w:rPr>
              <w:t>Personaliosakond </w:t>
            </w:r>
          </w:p>
        </w:tc>
      </w:tr>
      <w:tr w:rsidR="003434C4" w:rsidRPr="003434C4" w14:paraId="2A7DB847" w14:textId="77777777" w:rsidTr="003434C4">
        <w:trPr>
          <w:trHeight w:val="300"/>
        </w:trPr>
        <w:tc>
          <w:tcPr>
            <w:tcW w:w="9631" w:type="dxa"/>
            <w:tcBorders>
              <w:top w:val="single" w:sz="6" w:space="0" w:color="auto"/>
              <w:left w:val="single" w:sz="6" w:space="0" w:color="auto"/>
              <w:bottom w:val="single" w:sz="6" w:space="0" w:color="auto"/>
              <w:right w:val="single" w:sz="6" w:space="0" w:color="auto"/>
            </w:tcBorders>
            <w:hideMark/>
          </w:tcPr>
          <w:p w14:paraId="289904B2" w14:textId="77777777" w:rsidR="003434C4" w:rsidRPr="003434C4" w:rsidRDefault="003434C4" w:rsidP="003434C4">
            <w:pPr>
              <w:rPr>
                <w:rFonts w:asciiTheme="minorHAnsi" w:hAnsiTheme="minorHAnsi" w:cstheme="minorHAnsi"/>
                <w:szCs w:val="22"/>
              </w:rPr>
            </w:pPr>
            <w:r w:rsidRPr="003434C4">
              <w:rPr>
                <w:rFonts w:asciiTheme="minorHAnsi" w:hAnsiTheme="minorHAnsi" w:cstheme="minorHAnsi"/>
                <w:szCs w:val="22"/>
              </w:rPr>
              <w:t>Naiste eduka akadeemilise karjääri propageerimine (Naised teaduses jms) </w:t>
            </w:r>
          </w:p>
        </w:tc>
        <w:tc>
          <w:tcPr>
            <w:tcW w:w="5504" w:type="dxa"/>
            <w:tcBorders>
              <w:top w:val="single" w:sz="6" w:space="0" w:color="auto"/>
              <w:left w:val="single" w:sz="6" w:space="0" w:color="auto"/>
              <w:bottom w:val="single" w:sz="6" w:space="0" w:color="auto"/>
              <w:right w:val="single" w:sz="6" w:space="0" w:color="auto"/>
            </w:tcBorders>
            <w:hideMark/>
          </w:tcPr>
          <w:p w14:paraId="1155FAA8" w14:textId="77777777" w:rsidR="003434C4" w:rsidRPr="003434C4" w:rsidRDefault="003434C4" w:rsidP="003434C4">
            <w:pPr>
              <w:rPr>
                <w:rFonts w:asciiTheme="minorHAnsi" w:hAnsiTheme="minorHAnsi" w:cstheme="minorHAnsi"/>
                <w:szCs w:val="22"/>
              </w:rPr>
            </w:pPr>
            <w:r w:rsidRPr="003434C4">
              <w:rPr>
                <w:rFonts w:asciiTheme="minorHAnsi" w:hAnsiTheme="minorHAnsi" w:cstheme="minorHAnsi"/>
                <w:szCs w:val="22"/>
              </w:rPr>
              <w:t>Personaliosakond, turunduse ja kommunikatsiooni osakond </w:t>
            </w:r>
          </w:p>
        </w:tc>
      </w:tr>
      <w:tr w:rsidR="003434C4" w:rsidRPr="003434C4" w14:paraId="153167C1" w14:textId="77777777" w:rsidTr="003434C4">
        <w:trPr>
          <w:trHeight w:val="300"/>
        </w:trPr>
        <w:tc>
          <w:tcPr>
            <w:tcW w:w="9631" w:type="dxa"/>
            <w:tcBorders>
              <w:top w:val="single" w:sz="6" w:space="0" w:color="auto"/>
              <w:left w:val="single" w:sz="6" w:space="0" w:color="auto"/>
              <w:bottom w:val="single" w:sz="6" w:space="0" w:color="auto"/>
              <w:right w:val="single" w:sz="6" w:space="0" w:color="auto"/>
            </w:tcBorders>
            <w:hideMark/>
          </w:tcPr>
          <w:p w14:paraId="34134CF1" w14:textId="77777777" w:rsidR="003434C4" w:rsidRPr="003434C4" w:rsidRDefault="003434C4" w:rsidP="003434C4">
            <w:pPr>
              <w:numPr>
                <w:ilvl w:val="0"/>
                <w:numId w:val="27"/>
              </w:numPr>
              <w:rPr>
                <w:rFonts w:asciiTheme="minorHAnsi" w:hAnsiTheme="minorHAnsi" w:cstheme="minorHAnsi"/>
                <w:b/>
                <w:bCs/>
                <w:szCs w:val="22"/>
              </w:rPr>
            </w:pPr>
            <w:r w:rsidRPr="003434C4">
              <w:rPr>
                <w:rFonts w:asciiTheme="minorHAnsi" w:hAnsiTheme="minorHAnsi" w:cstheme="minorHAnsi"/>
                <w:b/>
                <w:bCs/>
                <w:szCs w:val="22"/>
              </w:rPr>
              <w:t>Soolise võrdõiguslikkuse edendamine </w:t>
            </w:r>
          </w:p>
        </w:tc>
        <w:tc>
          <w:tcPr>
            <w:tcW w:w="5504" w:type="dxa"/>
            <w:tcBorders>
              <w:top w:val="single" w:sz="6" w:space="0" w:color="auto"/>
              <w:left w:val="single" w:sz="6" w:space="0" w:color="auto"/>
              <w:bottom w:val="single" w:sz="6" w:space="0" w:color="auto"/>
              <w:right w:val="single" w:sz="6" w:space="0" w:color="auto"/>
            </w:tcBorders>
            <w:hideMark/>
          </w:tcPr>
          <w:p w14:paraId="637B8886" w14:textId="77777777" w:rsidR="003434C4" w:rsidRPr="003434C4" w:rsidRDefault="003434C4" w:rsidP="003434C4">
            <w:pPr>
              <w:rPr>
                <w:rFonts w:asciiTheme="minorHAnsi" w:hAnsiTheme="minorHAnsi" w:cstheme="minorHAnsi"/>
                <w:b/>
                <w:bCs/>
                <w:szCs w:val="22"/>
              </w:rPr>
            </w:pPr>
            <w:r w:rsidRPr="003434C4">
              <w:rPr>
                <w:rFonts w:asciiTheme="minorHAnsi" w:hAnsiTheme="minorHAnsi" w:cstheme="minorHAnsi"/>
                <w:b/>
                <w:bCs/>
                <w:szCs w:val="22"/>
              </w:rPr>
              <w:t> </w:t>
            </w:r>
          </w:p>
        </w:tc>
      </w:tr>
      <w:tr w:rsidR="003434C4" w:rsidRPr="003434C4" w14:paraId="4DEAE2D5" w14:textId="77777777" w:rsidTr="003434C4">
        <w:trPr>
          <w:trHeight w:val="300"/>
        </w:trPr>
        <w:tc>
          <w:tcPr>
            <w:tcW w:w="9631" w:type="dxa"/>
            <w:tcBorders>
              <w:top w:val="single" w:sz="6" w:space="0" w:color="auto"/>
              <w:left w:val="single" w:sz="6" w:space="0" w:color="auto"/>
              <w:bottom w:val="single" w:sz="6" w:space="0" w:color="auto"/>
              <w:right w:val="single" w:sz="6" w:space="0" w:color="auto"/>
            </w:tcBorders>
            <w:hideMark/>
          </w:tcPr>
          <w:p w14:paraId="2366203F" w14:textId="77777777" w:rsidR="003434C4" w:rsidRPr="003434C4" w:rsidRDefault="003434C4" w:rsidP="003434C4">
            <w:pPr>
              <w:rPr>
                <w:rFonts w:asciiTheme="minorHAnsi" w:hAnsiTheme="minorHAnsi" w:cstheme="minorHAnsi"/>
                <w:szCs w:val="22"/>
              </w:rPr>
            </w:pPr>
            <w:r w:rsidRPr="003434C4">
              <w:rPr>
                <w:rFonts w:asciiTheme="minorHAnsi" w:hAnsiTheme="minorHAnsi" w:cstheme="minorHAnsi"/>
                <w:szCs w:val="22"/>
              </w:rPr>
              <w:t>2.1  Värbamine ja karjääri areng </w:t>
            </w:r>
          </w:p>
        </w:tc>
        <w:tc>
          <w:tcPr>
            <w:tcW w:w="5504" w:type="dxa"/>
            <w:tcBorders>
              <w:top w:val="single" w:sz="6" w:space="0" w:color="auto"/>
              <w:left w:val="single" w:sz="6" w:space="0" w:color="auto"/>
              <w:bottom w:val="single" w:sz="6" w:space="0" w:color="auto"/>
              <w:right w:val="single" w:sz="6" w:space="0" w:color="auto"/>
            </w:tcBorders>
            <w:hideMark/>
          </w:tcPr>
          <w:p w14:paraId="1FEFCF28" w14:textId="77777777" w:rsidR="003434C4" w:rsidRPr="003434C4" w:rsidRDefault="003434C4" w:rsidP="003434C4">
            <w:pPr>
              <w:rPr>
                <w:rFonts w:asciiTheme="minorHAnsi" w:hAnsiTheme="minorHAnsi" w:cstheme="minorHAnsi"/>
                <w:szCs w:val="22"/>
              </w:rPr>
            </w:pPr>
            <w:r w:rsidRPr="003434C4">
              <w:rPr>
                <w:rFonts w:asciiTheme="minorHAnsi" w:hAnsiTheme="minorHAnsi" w:cstheme="minorHAnsi"/>
                <w:szCs w:val="22"/>
              </w:rPr>
              <w:t> </w:t>
            </w:r>
          </w:p>
        </w:tc>
      </w:tr>
      <w:tr w:rsidR="003434C4" w:rsidRPr="003434C4" w14:paraId="57AE2EC2" w14:textId="77777777" w:rsidTr="003434C4">
        <w:trPr>
          <w:trHeight w:val="300"/>
        </w:trPr>
        <w:tc>
          <w:tcPr>
            <w:tcW w:w="9631" w:type="dxa"/>
            <w:tcBorders>
              <w:top w:val="single" w:sz="6" w:space="0" w:color="auto"/>
              <w:left w:val="single" w:sz="6" w:space="0" w:color="auto"/>
              <w:bottom w:val="single" w:sz="6" w:space="0" w:color="auto"/>
              <w:right w:val="single" w:sz="6" w:space="0" w:color="auto"/>
            </w:tcBorders>
            <w:hideMark/>
          </w:tcPr>
          <w:p w14:paraId="470CF326" w14:textId="77777777" w:rsidR="003434C4" w:rsidRPr="003434C4" w:rsidRDefault="003434C4" w:rsidP="003434C4">
            <w:pPr>
              <w:rPr>
                <w:rFonts w:asciiTheme="minorHAnsi" w:hAnsiTheme="minorHAnsi" w:cstheme="minorHAnsi"/>
                <w:szCs w:val="22"/>
              </w:rPr>
            </w:pPr>
            <w:r w:rsidRPr="003434C4">
              <w:rPr>
                <w:rFonts w:asciiTheme="minorHAnsi" w:hAnsiTheme="minorHAnsi" w:cstheme="minorHAnsi"/>
                <w:szCs w:val="22"/>
              </w:rPr>
              <w:t>Värbamis- ja atesteerimiskomisjonide moodustamisel soolise tasakaalu järgimine </w:t>
            </w:r>
          </w:p>
        </w:tc>
        <w:tc>
          <w:tcPr>
            <w:tcW w:w="5504" w:type="dxa"/>
            <w:tcBorders>
              <w:top w:val="single" w:sz="6" w:space="0" w:color="auto"/>
              <w:left w:val="single" w:sz="6" w:space="0" w:color="auto"/>
              <w:bottom w:val="single" w:sz="6" w:space="0" w:color="auto"/>
              <w:right w:val="single" w:sz="6" w:space="0" w:color="auto"/>
            </w:tcBorders>
            <w:hideMark/>
          </w:tcPr>
          <w:p w14:paraId="56D8D69D" w14:textId="77777777" w:rsidR="003434C4" w:rsidRPr="003434C4" w:rsidRDefault="003434C4" w:rsidP="003434C4">
            <w:pPr>
              <w:rPr>
                <w:rFonts w:asciiTheme="minorHAnsi" w:hAnsiTheme="minorHAnsi" w:cstheme="minorHAnsi"/>
                <w:szCs w:val="22"/>
              </w:rPr>
            </w:pPr>
            <w:r w:rsidRPr="003434C4">
              <w:rPr>
                <w:rFonts w:asciiTheme="minorHAnsi" w:hAnsiTheme="minorHAnsi" w:cstheme="minorHAnsi"/>
                <w:szCs w:val="22"/>
              </w:rPr>
              <w:t>Personaliosakond </w:t>
            </w:r>
          </w:p>
        </w:tc>
      </w:tr>
      <w:tr w:rsidR="003434C4" w:rsidRPr="003434C4" w14:paraId="428540F6" w14:textId="77777777" w:rsidTr="003434C4">
        <w:trPr>
          <w:trHeight w:val="300"/>
        </w:trPr>
        <w:tc>
          <w:tcPr>
            <w:tcW w:w="9631" w:type="dxa"/>
            <w:tcBorders>
              <w:top w:val="single" w:sz="6" w:space="0" w:color="auto"/>
              <w:left w:val="single" w:sz="6" w:space="0" w:color="auto"/>
              <w:bottom w:val="single" w:sz="6" w:space="0" w:color="auto"/>
              <w:right w:val="single" w:sz="6" w:space="0" w:color="auto"/>
            </w:tcBorders>
            <w:hideMark/>
          </w:tcPr>
          <w:p w14:paraId="5044ADA1" w14:textId="77777777" w:rsidR="003434C4" w:rsidRPr="003434C4" w:rsidRDefault="003434C4" w:rsidP="003434C4">
            <w:pPr>
              <w:rPr>
                <w:rFonts w:asciiTheme="minorHAnsi" w:hAnsiTheme="minorHAnsi" w:cstheme="minorHAnsi"/>
                <w:szCs w:val="22"/>
              </w:rPr>
            </w:pPr>
            <w:r w:rsidRPr="003434C4">
              <w:rPr>
                <w:rFonts w:asciiTheme="minorHAnsi" w:hAnsiTheme="minorHAnsi" w:cstheme="minorHAnsi"/>
                <w:szCs w:val="22"/>
              </w:rPr>
              <w:t>Värbamis- ja atesteerimiskomisjoni liikmete koolitamine valiku soolise tasakaalu aspektide osas </w:t>
            </w:r>
          </w:p>
        </w:tc>
        <w:tc>
          <w:tcPr>
            <w:tcW w:w="5504" w:type="dxa"/>
            <w:tcBorders>
              <w:top w:val="single" w:sz="6" w:space="0" w:color="auto"/>
              <w:left w:val="single" w:sz="6" w:space="0" w:color="auto"/>
              <w:bottom w:val="single" w:sz="6" w:space="0" w:color="auto"/>
              <w:right w:val="single" w:sz="6" w:space="0" w:color="auto"/>
            </w:tcBorders>
            <w:hideMark/>
          </w:tcPr>
          <w:p w14:paraId="75C5DB91" w14:textId="77777777" w:rsidR="003434C4" w:rsidRPr="003434C4" w:rsidRDefault="003434C4" w:rsidP="003434C4">
            <w:pPr>
              <w:rPr>
                <w:rFonts w:asciiTheme="minorHAnsi" w:hAnsiTheme="minorHAnsi" w:cstheme="minorHAnsi"/>
                <w:szCs w:val="22"/>
              </w:rPr>
            </w:pPr>
            <w:r w:rsidRPr="003434C4">
              <w:rPr>
                <w:rFonts w:asciiTheme="minorHAnsi" w:hAnsiTheme="minorHAnsi" w:cstheme="minorHAnsi"/>
                <w:szCs w:val="22"/>
              </w:rPr>
              <w:t>Personaliosakond </w:t>
            </w:r>
          </w:p>
        </w:tc>
      </w:tr>
      <w:tr w:rsidR="003434C4" w:rsidRPr="003434C4" w14:paraId="2C792CDE" w14:textId="77777777" w:rsidTr="003434C4">
        <w:trPr>
          <w:trHeight w:val="300"/>
        </w:trPr>
        <w:tc>
          <w:tcPr>
            <w:tcW w:w="9631" w:type="dxa"/>
            <w:tcBorders>
              <w:top w:val="single" w:sz="6" w:space="0" w:color="auto"/>
              <w:left w:val="single" w:sz="6" w:space="0" w:color="auto"/>
              <w:bottom w:val="single" w:sz="6" w:space="0" w:color="auto"/>
              <w:right w:val="single" w:sz="6" w:space="0" w:color="auto"/>
            </w:tcBorders>
            <w:hideMark/>
          </w:tcPr>
          <w:p w14:paraId="0D19FDCE" w14:textId="77777777" w:rsidR="003434C4" w:rsidRPr="003434C4" w:rsidRDefault="003434C4" w:rsidP="003434C4">
            <w:pPr>
              <w:rPr>
                <w:rFonts w:asciiTheme="minorHAnsi" w:hAnsiTheme="minorHAnsi" w:cstheme="minorHAnsi"/>
                <w:szCs w:val="22"/>
              </w:rPr>
            </w:pPr>
            <w:r w:rsidRPr="003434C4">
              <w:rPr>
                <w:rFonts w:asciiTheme="minorHAnsi" w:hAnsiTheme="minorHAnsi" w:cstheme="minorHAnsi"/>
                <w:szCs w:val="22"/>
              </w:rPr>
              <w:t>Kandidaatide otsingul soolise tasakaalu parandamise eesmärkide arvestamine vastavas valdkonnas  </w:t>
            </w:r>
          </w:p>
        </w:tc>
        <w:tc>
          <w:tcPr>
            <w:tcW w:w="5504" w:type="dxa"/>
            <w:tcBorders>
              <w:top w:val="single" w:sz="6" w:space="0" w:color="auto"/>
              <w:left w:val="single" w:sz="6" w:space="0" w:color="auto"/>
              <w:bottom w:val="single" w:sz="6" w:space="0" w:color="auto"/>
              <w:right w:val="single" w:sz="6" w:space="0" w:color="auto"/>
            </w:tcBorders>
            <w:hideMark/>
          </w:tcPr>
          <w:p w14:paraId="392A728C" w14:textId="77777777" w:rsidR="003434C4" w:rsidRPr="003434C4" w:rsidRDefault="003434C4" w:rsidP="003434C4">
            <w:pPr>
              <w:rPr>
                <w:rFonts w:asciiTheme="minorHAnsi" w:hAnsiTheme="minorHAnsi" w:cstheme="minorHAnsi"/>
                <w:szCs w:val="22"/>
              </w:rPr>
            </w:pPr>
            <w:r w:rsidRPr="003434C4">
              <w:rPr>
                <w:rFonts w:asciiTheme="minorHAnsi" w:hAnsiTheme="minorHAnsi" w:cstheme="minorHAnsi"/>
                <w:szCs w:val="22"/>
              </w:rPr>
              <w:t>Personaliosakond, värbamiskomisjonid </w:t>
            </w:r>
          </w:p>
        </w:tc>
      </w:tr>
      <w:tr w:rsidR="003434C4" w:rsidRPr="003434C4" w14:paraId="6E1DBCD6" w14:textId="77777777" w:rsidTr="003434C4">
        <w:trPr>
          <w:trHeight w:val="300"/>
        </w:trPr>
        <w:tc>
          <w:tcPr>
            <w:tcW w:w="9631" w:type="dxa"/>
            <w:tcBorders>
              <w:top w:val="single" w:sz="6" w:space="0" w:color="auto"/>
              <w:left w:val="single" w:sz="6" w:space="0" w:color="auto"/>
              <w:bottom w:val="single" w:sz="6" w:space="0" w:color="auto"/>
              <w:right w:val="single" w:sz="6" w:space="0" w:color="auto"/>
            </w:tcBorders>
            <w:hideMark/>
          </w:tcPr>
          <w:p w14:paraId="3FBB097B" w14:textId="77777777" w:rsidR="003434C4" w:rsidRPr="003434C4" w:rsidRDefault="003434C4" w:rsidP="003434C4">
            <w:pPr>
              <w:rPr>
                <w:rFonts w:asciiTheme="minorHAnsi" w:hAnsiTheme="minorHAnsi" w:cstheme="minorHAnsi"/>
                <w:szCs w:val="22"/>
              </w:rPr>
            </w:pPr>
            <w:r w:rsidRPr="003434C4">
              <w:rPr>
                <w:rFonts w:asciiTheme="minorHAnsi" w:hAnsiTheme="minorHAnsi" w:cstheme="minorHAnsi"/>
                <w:szCs w:val="22"/>
              </w:rPr>
              <w:t>2.2  Töö ja eraelu toetamine </w:t>
            </w:r>
          </w:p>
        </w:tc>
        <w:tc>
          <w:tcPr>
            <w:tcW w:w="5504" w:type="dxa"/>
            <w:tcBorders>
              <w:top w:val="single" w:sz="6" w:space="0" w:color="auto"/>
              <w:left w:val="single" w:sz="6" w:space="0" w:color="auto"/>
              <w:bottom w:val="single" w:sz="6" w:space="0" w:color="auto"/>
              <w:right w:val="single" w:sz="6" w:space="0" w:color="auto"/>
            </w:tcBorders>
            <w:hideMark/>
          </w:tcPr>
          <w:p w14:paraId="05677C71" w14:textId="77777777" w:rsidR="003434C4" w:rsidRPr="003434C4" w:rsidRDefault="003434C4" w:rsidP="003434C4">
            <w:pPr>
              <w:rPr>
                <w:rFonts w:asciiTheme="minorHAnsi" w:hAnsiTheme="minorHAnsi" w:cstheme="minorHAnsi"/>
                <w:szCs w:val="22"/>
              </w:rPr>
            </w:pPr>
            <w:r w:rsidRPr="003434C4">
              <w:rPr>
                <w:rFonts w:asciiTheme="minorHAnsi" w:hAnsiTheme="minorHAnsi" w:cstheme="minorHAnsi"/>
                <w:szCs w:val="22"/>
              </w:rPr>
              <w:t> </w:t>
            </w:r>
          </w:p>
        </w:tc>
      </w:tr>
      <w:tr w:rsidR="003434C4" w:rsidRPr="003434C4" w14:paraId="5052D2D6" w14:textId="77777777" w:rsidTr="003434C4">
        <w:trPr>
          <w:trHeight w:val="300"/>
        </w:trPr>
        <w:tc>
          <w:tcPr>
            <w:tcW w:w="9631" w:type="dxa"/>
            <w:tcBorders>
              <w:top w:val="single" w:sz="6" w:space="0" w:color="auto"/>
              <w:left w:val="single" w:sz="6" w:space="0" w:color="auto"/>
              <w:bottom w:val="single" w:sz="6" w:space="0" w:color="auto"/>
              <w:right w:val="single" w:sz="6" w:space="0" w:color="auto"/>
            </w:tcBorders>
            <w:hideMark/>
          </w:tcPr>
          <w:p w14:paraId="05E24A04" w14:textId="77777777" w:rsidR="003434C4" w:rsidRPr="003434C4" w:rsidRDefault="003434C4" w:rsidP="003434C4">
            <w:pPr>
              <w:rPr>
                <w:rFonts w:asciiTheme="minorHAnsi" w:hAnsiTheme="minorHAnsi" w:cstheme="minorHAnsi"/>
                <w:szCs w:val="22"/>
              </w:rPr>
            </w:pPr>
            <w:r w:rsidRPr="003434C4">
              <w:rPr>
                <w:rFonts w:asciiTheme="minorHAnsi" w:hAnsiTheme="minorHAnsi" w:cstheme="minorHAnsi"/>
                <w:szCs w:val="22"/>
              </w:rPr>
              <w:t>Töötajate töö ja eraelu tasakaalu toetamine  </w:t>
            </w:r>
          </w:p>
        </w:tc>
        <w:tc>
          <w:tcPr>
            <w:tcW w:w="5504" w:type="dxa"/>
            <w:tcBorders>
              <w:top w:val="single" w:sz="6" w:space="0" w:color="auto"/>
              <w:left w:val="single" w:sz="6" w:space="0" w:color="auto"/>
              <w:bottom w:val="single" w:sz="6" w:space="0" w:color="auto"/>
              <w:right w:val="single" w:sz="6" w:space="0" w:color="auto"/>
            </w:tcBorders>
            <w:hideMark/>
          </w:tcPr>
          <w:p w14:paraId="553E410F" w14:textId="77777777" w:rsidR="003434C4" w:rsidRPr="003434C4" w:rsidRDefault="003434C4" w:rsidP="003434C4">
            <w:pPr>
              <w:rPr>
                <w:rFonts w:asciiTheme="minorHAnsi" w:hAnsiTheme="minorHAnsi" w:cstheme="minorHAnsi"/>
                <w:szCs w:val="22"/>
              </w:rPr>
            </w:pPr>
            <w:r w:rsidRPr="003434C4">
              <w:rPr>
                <w:rFonts w:asciiTheme="minorHAnsi" w:hAnsiTheme="minorHAnsi" w:cstheme="minorHAnsi"/>
                <w:szCs w:val="22"/>
              </w:rPr>
              <w:t>Personaliosakond, struktuuriüksuste juhid </w:t>
            </w:r>
          </w:p>
        </w:tc>
      </w:tr>
      <w:tr w:rsidR="003434C4" w:rsidRPr="003434C4" w14:paraId="25C5F84D" w14:textId="77777777" w:rsidTr="003434C4">
        <w:trPr>
          <w:trHeight w:val="300"/>
        </w:trPr>
        <w:tc>
          <w:tcPr>
            <w:tcW w:w="9631" w:type="dxa"/>
            <w:tcBorders>
              <w:top w:val="single" w:sz="6" w:space="0" w:color="auto"/>
              <w:left w:val="single" w:sz="6" w:space="0" w:color="auto"/>
              <w:bottom w:val="single" w:sz="6" w:space="0" w:color="auto"/>
              <w:right w:val="single" w:sz="6" w:space="0" w:color="auto"/>
            </w:tcBorders>
            <w:hideMark/>
          </w:tcPr>
          <w:p w14:paraId="146F3549" w14:textId="77777777" w:rsidR="003434C4" w:rsidRPr="003434C4" w:rsidRDefault="003434C4" w:rsidP="003434C4">
            <w:pPr>
              <w:rPr>
                <w:rFonts w:asciiTheme="minorHAnsi" w:hAnsiTheme="minorHAnsi" w:cstheme="minorHAnsi"/>
                <w:szCs w:val="22"/>
              </w:rPr>
            </w:pPr>
            <w:r w:rsidRPr="003434C4">
              <w:rPr>
                <w:rFonts w:asciiTheme="minorHAnsi" w:hAnsiTheme="minorHAnsi" w:cstheme="minorHAnsi"/>
                <w:szCs w:val="22"/>
              </w:rPr>
              <w:t>2.3  naiste osakaal juhtivatel ametikohtadel ja otsustuskogudes </w:t>
            </w:r>
          </w:p>
        </w:tc>
        <w:tc>
          <w:tcPr>
            <w:tcW w:w="5504" w:type="dxa"/>
            <w:tcBorders>
              <w:top w:val="single" w:sz="6" w:space="0" w:color="auto"/>
              <w:left w:val="single" w:sz="6" w:space="0" w:color="auto"/>
              <w:bottom w:val="single" w:sz="6" w:space="0" w:color="auto"/>
              <w:right w:val="single" w:sz="6" w:space="0" w:color="auto"/>
            </w:tcBorders>
            <w:hideMark/>
          </w:tcPr>
          <w:p w14:paraId="095BE752" w14:textId="77777777" w:rsidR="003434C4" w:rsidRPr="003434C4" w:rsidRDefault="003434C4" w:rsidP="003434C4">
            <w:pPr>
              <w:rPr>
                <w:rFonts w:asciiTheme="minorHAnsi" w:hAnsiTheme="minorHAnsi" w:cstheme="minorHAnsi"/>
                <w:szCs w:val="22"/>
              </w:rPr>
            </w:pPr>
            <w:r w:rsidRPr="003434C4">
              <w:rPr>
                <w:rFonts w:asciiTheme="minorHAnsi" w:hAnsiTheme="minorHAnsi" w:cstheme="minorHAnsi"/>
                <w:szCs w:val="22"/>
              </w:rPr>
              <w:t> </w:t>
            </w:r>
          </w:p>
        </w:tc>
      </w:tr>
      <w:tr w:rsidR="003434C4" w:rsidRPr="003434C4" w14:paraId="1256F053" w14:textId="77777777" w:rsidTr="003434C4">
        <w:trPr>
          <w:trHeight w:val="300"/>
        </w:trPr>
        <w:tc>
          <w:tcPr>
            <w:tcW w:w="9631" w:type="dxa"/>
            <w:tcBorders>
              <w:top w:val="single" w:sz="6" w:space="0" w:color="auto"/>
              <w:left w:val="single" w:sz="6" w:space="0" w:color="auto"/>
              <w:bottom w:val="single" w:sz="6" w:space="0" w:color="auto"/>
              <w:right w:val="single" w:sz="6" w:space="0" w:color="auto"/>
            </w:tcBorders>
            <w:hideMark/>
          </w:tcPr>
          <w:p w14:paraId="36D36EB3" w14:textId="77777777" w:rsidR="003434C4" w:rsidRPr="003434C4" w:rsidRDefault="003434C4" w:rsidP="003434C4">
            <w:pPr>
              <w:rPr>
                <w:rFonts w:asciiTheme="minorHAnsi" w:hAnsiTheme="minorHAnsi" w:cstheme="minorHAnsi"/>
                <w:szCs w:val="22"/>
              </w:rPr>
            </w:pPr>
            <w:r w:rsidRPr="003434C4">
              <w:rPr>
                <w:rFonts w:asciiTheme="minorHAnsi" w:hAnsiTheme="minorHAnsi" w:cstheme="minorHAnsi"/>
                <w:szCs w:val="22"/>
              </w:rPr>
              <w:t>Juhtimispotentsiaaliga </w:t>
            </w:r>
            <w:proofErr w:type="spellStart"/>
            <w:r w:rsidRPr="003434C4">
              <w:rPr>
                <w:rFonts w:asciiTheme="minorHAnsi" w:hAnsiTheme="minorHAnsi" w:cstheme="minorHAnsi"/>
                <w:szCs w:val="22"/>
              </w:rPr>
              <w:t>naistöötajate</w:t>
            </w:r>
            <w:proofErr w:type="spellEnd"/>
            <w:r w:rsidRPr="003434C4">
              <w:rPr>
                <w:rFonts w:asciiTheme="minorHAnsi" w:hAnsiTheme="minorHAnsi" w:cstheme="minorHAnsi"/>
                <w:szCs w:val="22"/>
              </w:rPr>
              <w:t> süsteemne väljaselgitamine ja arendamine </w:t>
            </w:r>
          </w:p>
        </w:tc>
        <w:tc>
          <w:tcPr>
            <w:tcW w:w="5504" w:type="dxa"/>
            <w:tcBorders>
              <w:top w:val="single" w:sz="6" w:space="0" w:color="auto"/>
              <w:left w:val="single" w:sz="6" w:space="0" w:color="auto"/>
              <w:bottom w:val="single" w:sz="6" w:space="0" w:color="auto"/>
              <w:right w:val="single" w:sz="6" w:space="0" w:color="auto"/>
            </w:tcBorders>
            <w:hideMark/>
          </w:tcPr>
          <w:p w14:paraId="684AA2DD" w14:textId="77777777" w:rsidR="003434C4" w:rsidRPr="003434C4" w:rsidRDefault="003434C4" w:rsidP="003434C4">
            <w:pPr>
              <w:rPr>
                <w:rFonts w:asciiTheme="minorHAnsi" w:hAnsiTheme="minorHAnsi" w:cstheme="minorHAnsi"/>
                <w:szCs w:val="22"/>
              </w:rPr>
            </w:pPr>
            <w:r w:rsidRPr="003434C4">
              <w:rPr>
                <w:rFonts w:asciiTheme="minorHAnsi" w:hAnsiTheme="minorHAnsi" w:cstheme="minorHAnsi"/>
                <w:szCs w:val="22"/>
              </w:rPr>
              <w:t>Personaliosakond, struktuuriüksuste juhid </w:t>
            </w:r>
          </w:p>
        </w:tc>
      </w:tr>
      <w:tr w:rsidR="003434C4" w:rsidRPr="003434C4" w14:paraId="678A97F0" w14:textId="77777777" w:rsidTr="003434C4">
        <w:trPr>
          <w:trHeight w:val="300"/>
        </w:trPr>
        <w:tc>
          <w:tcPr>
            <w:tcW w:w="9631" w:type="dxa"/>
            <w:tcBorders>
              <w:top w:val="single" w:sz="6" w:space="0" w:color="auto"/>
              <w:left w:val="single" w:sz="6" w:space="0" w:color="auto"/>
              <w:bottom w:val="single" w:sz="6" w:space="0" w:color="auto"/>
              <w:right w:val="single" w:sz="6" w:space="0" w:color="auto"/>
            </w:tcBorders>
            <w:hideMark/>
          </w:tcPr>
          <w:p w14:paraId="2C4E532E" w14:textId="77777777" w:rsidR="003434C4" w:rsidRPr="003434C4" w:rsidRDefault="003434C4" w:rsidP="003434C4">
            <w:pPr>
              <w:rPr>
                <w:rFonts w:asciiTheme="minorHAnsi" w:hAnsiTheme="minorHAnsi" w:cstheme="minorHAnsi"/>
                <w:szCs w:val="22"/>
              </w:rPr>
            </w:pPr>
            <w:r w:rsidRPr="003434C4">
              <w:rPr>
                <w:rFonts w:asciiTheme="minorHAnsi" w:hAnsiTheme="minorHAnsi" w:cstheme="minorHAnsi"/>
                <w:szCs w:val="22"/>
              </w:rPr>
              <w:t>Ülikooli kõneisikute soolise tasakaalu teadlik kujundamine </w:t>
            </w:r>
          </w:p>
        </w:tc>
        <w:tc>
          <w:tcPr>
            <w:tcW w:w="5504" w:type="dxa"/>
            <w:tcBorders>
              <w:top w:val="single" w:sz="6" w:space="0" w:color="auto"/>
              <w:left w:val="single" w:sz="6" w:space="0" w:color="auto"/>
              <w:bottom w:val="single" w:sz="6" w:space="0" w:color="auto"/>
              <w:right w:val="single" w:sz="6" w:space="0" w:color="auto"/>
            </w:tcBorders>
            <w:hideMark/>
          </w:tcPr>
          <w:p w14:paraId="53D9D9EF" w14:textId="77777777" w:rsidR="003434C4" w:rsidRPr="003434C4" w:rsidRDefault="003434C4" w:rsidP="003434C4">
            <w:pPr>
              <w:rPr>
                <w:rFonts w:asciiTheme="minorHAnsi" w:hAnsiTheme="minorHAnsi" w:cstheme="minorHAnsi"/>
                <w:szCs w:val="22"/>
              </w:rPr>
            </w:pPr>
            <w:r w:rsidRPr="003434C4">
              <w:rPr>
                <w:rFonts w:asciiTheme="minorHAnsi" w:hAnsiTheme="minorHAnsi" w:cstheme="minorHAnsi"/>
                <w:szCs w:val="22"/>
              </w:rPr>
              <w:t>Turunduse ja kommunikatsiooni osakond </w:t>
            </w:r>
          </w:p>
        </w:tc>
      </w:tr>
      <w:tr w:rsidR="003434C4" w:rsidRPr="003434C4" w14:paraId="6D520B9D" w14:textId="77777777" w:rsidTr="003434C4">
        <w:trPr>
          <w:trHeight w:val="300"/>
        </w:trPr>
        <w:tc>
          <w:tcPr>
            <w:tcW w:w="9631" w:type="dxa"/>
            <w:tcBorders>
              <w:top w:val="single" w:sz="6" w:space="0" w:color="auto"/>
              <w:left w:val="single" w:sz="6" w:space="0" w:color="auto"/>
              <w:bottom w:val="single" w:sz="6" w:space="0" w:color="auto"/>
              <w:right w:val="single" w:sz="6" w:space="0" w:color="auto"/>
            </w:tcBorders>
            <w:hideMark/>
          </w:tcPr>
          <w:p w14:paraId="4AF3C487" w14:textId="77777777" w:rsidR="003434C4" w:rsidRPr="003434C4" w:rsidRDefault="003434C4" w:rsidP="003434C4">
            <w:pPr>
              <w:rPr>
                <w:rFonts w:asciiTheme="minorHAnsi" w:hAnsiTheme="minorHAnsi" w:cstheme="minorHAnsi"/>
                <w:szCs w:val="22"/>
              </w:rPr>
            </w:pPr>
            <w:r w:rsidRPr="003434C4">
              <w:rPr>
                <w:rFonts w:asciiTheme="minorHAnsi" w:hAnsiTheme="minorHAnsi" w:cstheme="minorHAnsi"/>
                <w:szCs w:val="22"/>
              </w:rPr>
              <w:t>Võrdsete tingimuste pakkumine ja soolise tasakaalu tagamine ülikoolide otsustuskogudes </w:t>
            </w:r>
          </w:p>
        </w:tc>
        <w:tc>
          <w:tcPr>
            <w:tcW w:w="5504" w:type="dxa"/>
            <w:tcBorders>
              <w:top w:val="single" w:sz="6" w:space="0" w:color="auto"/>
              <w:left w:val="single" w:sz="6" w:space="0" w:color="auto"/>
              <w:bottom w:val="single" w:sz="6" w:space="0" w:color="auto"/>
              <w:right w:val="single" w:sz="6" w:space="0" w:color="auto"/>
            </w:tcBorders>
            <w:hideMark/>
          </w:tcPr>
          <w:p w14:paraId="04C74FEE" w14:textId="77777777" w:rsidR="003434C4" w:rsidRPr="003434C4" w:rsidRDefault="003434C4" w:rsidP="003434C4">
            <w:pPr>
              <w:rPr>
                <w:rFonts w:asciiTheme="minorHAnsi" w:hAnsiTheme="minorHAnsi" w:cstheme="minorHAnsi"/>
                <w:szCs w:val="22"/>
              </w:rPr>
            </w:pPr>
            <w:r w:rsidRPr="003434C4">
              <w:rPr>
                <w:rFonts w:asciiTheme="minorHAnsi" w:hAnsiTheme="minorHAnsi" w:cstheme="minorHAnsi"/>
                <w:szCs w:val="22"/>
              </w:rPr>
              <w:t>Juhtkond </w:t>
            </w:r>
          </w:p>
        </w:tc>
      </w:tr>
      <w:tr w:rsidR="003434C4" w:rsidRPr="003434C4" w14:paraId="61ABB1D6" w14:textId="77777777" w:rsidTr="003434C4">
        <w:trPr>
          <w:trHeight w:val="300"/>
        </w:trPr>
        <w:tc>
          <w:tcPr>
            <w:tcW w:w="9631" w:type="dxa"/>
            <w:tcBorders>
              <w:top w:val="single" w:sz="6" w:space="0" w:color="auto"/>
              <w:left w:val="single" w:sz="6" w:space="0" w:color="auto"/>
              <w:bottom w:val="single" w:sz="6" w:space="0" w:color="auto"/>
              <w:right w:val="single" w:sz="6" w:space="0" w:color="auto"/>
            </w:tcBorders>
            <w:hideMark/>
          </w:tcPr>
          <w:p w14:paraId="7F94820A" w14:textId="77777777" w:rsidR="003434C4" w:rsidRPr="003434C4" w:rsidRDefault="003434C4" w:rsidP="003434C4">
            <w:pPr>
              <w:numPr>
                <w:ilvl w:val="0"/>
                <w:numId w:val="28"/>
              </w:numPr>
              <w:rPr>
                <w:rFonts w:asciiTheme="minorHAnsi" w:hAnsiTheme="minorHAnsi" w:cstheme="minorHAnsi"/>
                <w:b/>
                <w:bCs/>
                <w:szCs w:val="22"/>
              </w:rPr>
            </w:pPr>
            <w:r w:rsidRPr="003434C4">
              <w:rPr>
                <w:rFonts w:asciiTheme="minorHAnsi" w:hAnsiTheme="minorHAnsi" w:cstheme="minorHAnsi"/>
                <w:b/>
                <w:bCs/>
                <w:szCs w:val="22"/>
              </w:rPr>
              <w:t>Organisatsioonikultuuri edendamine </w:t>
            </w:r>
          </w:p>
        </w:tc>
        <w:tc>
          <w:tcPr>
            <w:tcW w:w="5504" w:type="dxa"/>
            <w:tcBorders>
              <w:top w:val="single" w:sz="6" w:space="0" w:color="auto"/>
              <w:left w:val="single" w:sz="6" w:space="0" w:color="auto"/>
              <w:bottom w:val="single" w:sz="6" w:space="0" w:color="auto"/>
              <w:right w:val="single" w:sz="6" w:space="0" w:color="auto"/>
            </w:tcBorders>
            <w:hideMark/>
          </w:tcPr>
          <w:p w14:paraId="7F4DAB25" w14:textId="77777777" w:rsidR="003434C4" w:rsidRPr="003434C4" w:rsidRDefault="003434C4" w:rsidP="003434C4">
            <w:pPr>
              <w:rPr>
                <w:rFonts w:asciiTheme="minorHAnsi" w:hAnsiTheme="minorHAnsi" w:cstheme="minorHAnsi"/>
                <w:b/>
                <w:bCs/>
                <w:szCs w:val="22"/>
              </w:rPr>
            </w:pPr>
            <w:r w:rsidRPr="003434C4">
              <w:rPr>
                <w:rFonts w:asciiTheme="minorHAnsi" w:hAnsiTheme="minorHAnsi" w:cstheme="minorHAnsi"/>
                <w:b/>
                <w:bCs/>
                <w:szCs w:val="22"/>
              </w:rPr>
              <w:t> </w:t>
            </w:r>
          </w:p>
        </w:tc>
      </w:tr>
      <w:tr w:rsidR="003434C4" w:rsidRPr="003434C4" w14:paraId="68BBF62D" w14:textId="77777777" w:rsidTr="003434C4">
        <w:trPr>
          <w:trHeight w:val="300"/>
        </w:trPr>
        <w:tc>
          <w:tcPr>
            <w:tcW w:w="9631" w:type="dxa"/>
            <w:tcBorders>
              <w:top w:val="single" w:sz="6" w:space="0" w:color="auto"/>
              <w:left w:val="single" w:sz="6" w:space="0" w:color="auto"/>
              <w:bottom w:val="single" w:sz="6" w:space="0" w:color="auto"/>
              <w:right w:val="single" w:sz="6" w:space="0" w:color="auto"/>
            </w:tcBorders>
            <w:hideMark/>
          </w:tcPr>
          <w:p w14:paraId="12D24147" w14:textId="77777777" w:rsidR="003434C4" w:rsidRPr="003434C4" w:rsidRDefault="003434C4" w:rsidP="003434C4">
            <w:pPr>
              <w:rPr>
                <w:rFonts w:asciiTheme="minorHAnsi" w:hAnsiTheme="minorHAnsi" w:cstheme="minorHAnsi"/>
                <w:szCs w:val="22"/>
              </w:rPr>
            </w:pPr>
            <w:r w:rsidRPr="003434C4">
              <w:rPr>
                <w:rFonts w:asciiTheme="minorHAnsi" w:hAnsiTheme="minorHAnsi" w:cstheme="minorHAnsi"/>
                <w:szCs w:val="22"/>
              </w:rPr>
              <w:t>Võrdset kohtlemist puudutava info kättesaadavuse tagamine </w:t>
            </w:r>
          </w:p>
        </w:tc>
        <w:tc>
          <w:tcPr>
            <w:tcW w:w="5504" w:type="dxa"/>
            <w:tcBorders>
              <w:top w:val="single" w:sz="6" w:space="0" w:color="auto"/>
              <w:left w:val="single" w:sz="6" w:space="0" w:color="auto"/>
              <w:bottom w:val="single" w:sz="6" w:space="0" w:color="auto"/>
              <w:right w:val="single" w:sz="6" w:space="0" w:color="auto"/>
            </w:tcBorders>
            <w:hideMark/>
          </w:tcPr>
          <w:p w14:paraId="271EEECD" w14:textId="77777777" w:rsidR="003434C4" w:rsidRPr="003434C4" w:rsidRDefault="003434C4" w:rsidP="003434C4">
            <w:pPr>
              <w:rPr>
                <w:rFonts w:asciiTheme="minorHAnsi" w:hAnsiTheme="minorHAnsi" w:cstheme="minorHAnsi"/>
                <w:szCs w:val="22"/>
              </w:rPr>
            </w:pPr>
            <w:r w:rsidRPr="003434C4">
              <w:rPr>
                <w:rFonts w:asciiTheme="minorHAnsi" w:hAnsiTheme="minorHAnsi" w:cstheme="minorHAnsi"/>
                <w:szCs w:val="22"/>
              </w:rPr>
              <w:t>Personaliosakond </w:t>
            </w:r>
          </w:p>
        </w:tc>
      </w:tr>
      <w:tr w:rsidR="003434C4" w:rsidRPr="003434C4" w14:paraId="44241418" w14:textId="77777777" w:rsidTr="003434C4">
        <w:trPr>
          <w:trHeight w:val="300"/>
        </w:trPr>
        <w:tc>
          <w:tcPr>
            <w:tcW w:w="9631" w:type="dxa"/>
            <w:tcBorders>
              <w:top w:val="single" w:sz="6" w:space="0" w:color="auto"/>
              <w:left w:val="single" w:sz="6" w:space="0" w:color="auto"/>
              <w:bottom w:val="single" w:sz="6" w:space="0" w:color="auto"/>
              <w:right w:val="single" w:sz="6" w:space="0" w:color="auto"/>
            </w:tcBorders>
            <w:hideMark/>
          </w:tcPr>
          <w:p w14:paraId="0DE01609" w14:textId="77777777" w:rsidR="003434C4" w:rsidRPr="003434C4" w:rsidRDefault="003434C4" w:rsidP="003434C4">
            <w:pPr>
              <w:rPr>
                <w:rFonts w:asciiTheme="minorHAnsi" w:hAnsiTheme="minorHAnsi" w:cstheme="minorHAnsi"/>
                <w:szCs w:val="22"/>
              </w:rPr>
            </w:pPr>
            <w:r w:rsidRPr="003434C4">
              <w:rPr>
                <w:rFonts w:asciiTheme="minorHAnsi" w:hAnsiTheme="minorHAnsi" w:cstheme="minorHAnsi"/>
                <w:szCs w:val="22"/>
              </w:rPr>
              <w:t>Ülikooli mitmekesisuse võrgustiku arendamine ja nõustajate koolitamine </w:t>
            </w:r>
          </w:p>
        </w:tc>
        <w:tc>
          <w:tcPr>
            <w:tcW w:w="5504" w:type="dxa"/>
            <w:tcBorders>
              <w:top w:val="single" w:sz="6" w:space="0" w:color="auto"/>
              <w:left w:val="single" w:sz="6" w:space="0" w:color="auto"/>
              <w:bottom w:val="single" w:sz="6" w:space="0" w:color="auto"/>
              <w:right w:val="single" w:sz="6" w:space="0" w:color="auto"/>
            </w:tcBorders>
            <w:hideMark/>
          </w:tcPr>
          <w:p w14:paraId="68BA0A25" w14:textId="77777777" w:rsidR="003434C4" w:rsidRPr="003434C4" w:rsidRDefault="003434C4" w:rsidP="003434C4">
            <w:pPr>
              <w:rPr>
                <w:rFonts w:asciiTheme="minorHAnsi" w:hAnsiTheme="minorHAnsi" w:cstheme="minorHAnsi"/>
                <w:szCs w:val="22"/>
              </w:rPr>
            </w:pPr>
            <w:r w:rsidRPr="003434C4">
              <w:rPr>
                <w:rFonts w:asciiTheme="minorHAnsi" w:hAnsiTheme="minorHAnsi" w:cstheme="minorHAnsi"/>
                <w:szCs w:val="22"/>
              </w:rPr>
              <w:t>Personaliosakond </w:t>
            </w:r>
          </w:p>
        </w:tc>
      </w:tr>
      <w:tr w:rsidR="003434C4" w:rsidRPr="003434C4" w14:paraId="64E332AD" w14:textId="77777777" w:rsidTr="003434C4">
        <w:trPr>
          <w:trHeight w:val="300"/>
        </w:trPr>
        <w:tc>
          <w:tcPr>
            <w:tcW w:w="9631" w:type="dxa"/>
            <w:tcBorders>
              <w:top w:val="single" w:sz="6" w:space="0" w:color="auto"/>
              <w:left w:val="single" w:sz="6" w:space="0" w:color="auto"/>
              <w:bottom w:val="single" w:sz="6" w:space="0" w:color="auto"/>
              <w:right w:val="single" w:sz="6" w:space="0" w:color="auto"/>
            </w:tcBorders>
            <w:hideMark/>
          </w:tcPr>
          <w:p w14:paraId="3723B0B7" w14:textId="1FD80AEE" w:rsidR="003434C4" w:rsidRPr="003434C4" w:rsidRDefault="003434C4" w:rsidP="003434C4">
            <w:pPr>
              <w:rPr>
                <w:rFonts w:asciiTheme="minorHAnsi" w:hAnsiTheme="minorHAnsi" w:cstheme="minorHAnsi"/>
                <w:szCs w:val="22"/>
              </w:rPr>
            </w:pPr>
            <w:r w:rsidRPr="003434C4">
              <w:rPr>
                <w:rFonts w:asciiTheme="minorHAnsi" w:hAnsiTheme="minorHAnsi" w:cstheme="minorHAnsi"/>
                <w:szCs w:val="22"/>
              </w:rPr>
              <w:t>Koolituste ja ürituste korraldamine suurendamaks ülikoolipere teadlikkust võrdsest kohtlemisest</w:t>
            </w:r>
            <w:r>
              <w:rPr>
                <w:rFonts w:asciiTheme="minorHAnsi" w:hAnsiTheme="minorHAnsi" w:cstheme="minorHAnsi"/>
                <w:szCs w:val="22"/>
              </w:rPr>
              <w:t xml:space="preserve"> </w:t>
            </w:r>
            <w:r w:rsidRPr="003434C4">
              <w:rPr>
                <w:rFonts w:asciiTheme="minorHAnsi" w:hAnsiTheme="minorHAnsi" w:cstheme="minorHAnsi"/>
                <w:szCs w:val="22"/>
              </w:rPr>
              <w:t>(sh sooline võrdõiguslikkus)  </w:t>
            </w:r>
          </w:p>
        </w:tc>
        <w:tc>
          <w:tcPr>
            <w:tcW w:w="5504" w:type="dxa"/>
            <w:tcBorders>
              <w:top w:val="single" w:sz="6" w:space="0" w:color="auto"/>
              <w:left w:val="single" w:sz="6" w:space="0" w:color="auto"/>
              <w:bottom w:val="single" w:sz="6" w:space="0" w:color="auto"/>
              <w:right w:val="single" w:sz="6" w:space="0" w:color="auto"/>
            </w:tcBorders>
            <w:hideMark/>
          </w:tcPr>
          <w:p w14:paraId="6F3F27B5" w14:textId="77777777" w:rsidR="003434C4" w:rsidRPr="003434C4" w:rsidRDefault="003434C4" w:rsidP="003434C4">
            <w:pPr>
              <w:rPr>
                <w:rFonts w:asciiTheme="minorHAnsi" w:hAnsiTheme="minorHAnsi" w:cstheme="minorHAnsi"/>
                <w:szCs w:val="22"/>
              </w:rPr>
            </w:pPr>
            <w:r w:rsidRPr="003434C4">
              <w:rPr>
                <w:rFonts w:asciiTheme="minorHAnsi" w:hAnsiTheme="minorHAnsi" w:cstheme="minorHAnsi"/>
                <w:szCs w:val="22"/>
              </w:rPr>
              <w:t>Personaliosakond </w:t>
            </w:r>
          </w:p>
        </w:tc>
      </w:tr>
    </w:tbl>
    <w:p w14:paraId="7B1C14A6" w14:textId="77777777" w:rsidR="003434C4" w:rsidRPr="003434C4" w:rsidRDefault="003434C4" w:rsidP="003434C4">
      <w:pPr>
        <w:spacing w:line="360" w:lineRule="auto"/>
        <w:jc w:val="both"/>
        <w:rPr>
          <w:rFonts w:asciiTheme="minorHAnsi" w:hAnsiTheme="minorHAnsi" w:cstheme="minorHAnsi"/>
          <w:szCs w:val="22"/>
        </w:rPr>
      </w:pPr>
      <w:r w:rsidRPr="003434C4">
        <w:rPr>
          <w:rFonts w:asciiTheme="minorHAnsi" w:hAnsiTheme="minorHAnsi" w:cstheme="minorHAnsi"/>
          <w:szCs w:val="22"/>
        </w:rPr>
        <w:t> </w:t>
      </w:r>
    </w:p>
    <w:p w14:paraId="61EE902E" w14:textId="77777777" w:rsidR="003434C4" w:rsidRPr="003434C4" w:rsidRDefault="003434C4" w:rsidP="003434C4">
      <w:pPr>
        <w:spacing w:line="360" w:lineRule="auto"/>
        <w:jc w:val="both"/>
        <w:rPr>
          <w:rFonts w:asciiTheme="minorHAnsi" w:hAnsiTheme="minorHAnsi" w:cstheme="minorHAnsi"/>
          <w:szCs w:val="22"/>
        </w:rPr>
      </w:pPr>
      <w:r w:rsidRPr="003434C4">
        <w:rPr>
          <w:rFonts w:asciiTheme="minorHAnsi" w:hAnsiTheme="minorHAnsi" w:cstheme="minorHAnsi"/>
          <w:szCs w:val="22"/>
          <w:u w:val="single"/>
        </w:rPr>
        <w:t>Soolise võrdõiguslikkuse edendamiseks kokkulepitud meetmete tõhususe mõõtmiseks on kokku lepitud järgmised tulemusnäitajad:</w:t>
      </w:r>
      <w:r w:rsidRPr="003434C4">
        <w:rPr>
          <w:rFonts w:asciiTheme="minorHAnsi" w:hAnsiTheme="minorHAnsi" w:cstheme="minorHAnsi"/>
          <w:szCs w:val="22"/>
        </w:rPr>
        <w:t>   </w:t>
      </w:r>
    </w:p>
    <w:tbl>
      <w:tblPr>
        <w:tblW w:w="1389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1380"/>
        <w:gridCol w:w="1335"/>
        <w:gridCol w:w="1410"/>
        <w:gridCol w:w="2160"/>
        <w:gridCol w:w="2949"/>
      </w:tblGrid>
      <w:tr w:rsidR="003434C4" w:rsidRPr="003434C4" w14:paraId="15262E3C" w14:textId="77777777" w:rsidTr="003434C4">
        <w:trPr>
          <w:trHeight w:val="870"/>
        </w:trPr>
        <w:tc>
          <w:tcPr>
            <w:tcW w:w="4665" w:type="dxa"/>
            <w:tcBorders>
              <w:top w:val="single" w:sz="6" w:space="0" w:color="auto"/>
              <w:left w:val="single" w:sz="6" w:space="0" w:color="auto"/>
              <w:bottom w:val="single" w:sz="6" w:space="0" w:color="auto"/>
              <w:right w:val="single" w:sz="6" w:space="0" w:color="auto"/>
            </w:tcBorders>
            <w:shd w:val="clear" w:color="auto" w:fill="ACB9CA"/>
            <w:vAlign w:val="center"/>
            <w:hideMark/>
          </w:tcPr>
          <w:p w14:paraId="181E2328" w14:textId="77777777" w:rsidR="003434C4" w:rsidRPr="003434C4" w:rsidRDefault="003434C4" w:rsidP="003434C4">
            <w:pPr>
              <w:spacing w:line="360" w:lineRule="auto"/>
              <w:jc w:val="both"/>
              <w:rPr>
                <w:rFonts w:asciiTheme="minorHAnsi" w:hAnsiTheme="minorHAnsi" w:cstheme="minorHAnsi"/>
                <w:szCs w:val="22"/>
              </w:rPr>
            </w:pPr>
            <w:r w:rsidRPr="003434C4">
              <w:rPr>
                <w:rFonts w:asciiTheme="minorHAnsi" w:hAnsiTheme="minorHAnsi" w:cstheme="minorHAnsi"/>
                <w:szCs w:val="22"/>
              </w:rPr>
              <w:lastRenderedPageBreak/>
              <w:t>Näitaja eesmärk </w:t>
            </w:r>
          </w:p>
        </w:tc>
        <w:tc>
          <w:tcPr>
            <w:tcW w:w="1380" w:type="dxa"/>
            <w:tcBorders>
              <w:top w:val="single" w:sz="6" w:space="0" w:color="auto"/>
              <w:left w:val="nil"/>
              <w:bottom w:val="single" w:sz="6" w:space="0" w:color="auto"/>
              <w:right w:val="single" w:sz="6" w:space="0" w:color="auto"/>
            </w:tcBorders>
            <w:shd w:val="clear" w:color="auto" w:fill="ACB9CA"/>
            <w:vAlign w:val="center"/>
            <w:hideMark/>
          </w:tcPr>
          <w:p w14:paraId="57378554" w14:textId="6C873DA5" w:rsidR="003434C4" w:rsidRPr="003434C4" w:rsidRDefault="003434C4" w:rsidP="003434C4">
            <w:pPr>
              <w:spacing w:line="360" w:lineRule="auto"/>
              <w:jc w:val="center"/>
              <w:rPr>
                <w:rFonts w:asciiTheme="minorHAnsi" w:hAnsiTheme="minorHAnsi" w:cstheme="minorHAnsi"/>
                <w:szCs w:val="22"/>
              </w:rPr>
            </w:pPr>
            <w:r w:rsidRPr="003434C4">
              <w:rPr>
                <w:rFonts w:asciiTheme="minorHAnsi" w:hAnsiTheme="minorHAnsi" w:cstheme="minorHAnsi"/>
                <w:szCs w:val="22"/>
              </w:rPr>
              <w:t>31.12.2022</w:t>
            </w:r>
          </w:p>
        </w:tc>
        <w:tc>
          <w:tcPr>
            <w:tcW w:w="1335" w:type="dxa"/>
            <w:tcBorders>
              <w:top w:val="single" w:sz="6" w:space="0" w:color="auto"/>
              <w:left w:val="nil"/>
              <w:bottom w:val="single" w:sz="6" w:space="0" w:color="auto"/>
              <w:right w:val="single" w:sz="6" w:space="0" w:color="auto"/>
            </w:tcBorders>
            <w:shd w:val="clear" w:color="auto" w:fill="ACB9CA"/>
            <w:vAlign w:val="center"/>
            <w:hideMark/>
          </w:tcPr>
          <w:p w14:paraId="0802D284" w14:textId="1B54CFAA" w:rsidR="003434C4" w:rsidRPr="003434C4" w:rsidRDefault="003434C4" w:rsidP="003434C4">
            <w:pPr>
              <w:spacing w:line="360" w:lineRule="auto"/>
              <w:jc w:val="center"/>
              <w:rPr>
                <w:rFonts w:asciiTheme="minorHAnsi" w:hAnsiTheme="minorHAnsi" w:cstheme="minorHAnsi"/>
                <w:szCs w:val="22"/>
              </w:rPr>
            </w:pPr>
            <w:r w:rsidRPr="003434C4">
              <w:rPr>
                <w:rFonts w:asciiTheme="minorHAnsi" w:hAnsiTheme="minorHAnsi" w:cstheme="minorHAnsi"/>
                <w:szCs w:val="22"/>
              </w:rPr>
              <w:t>31.12.2023</w:t>
            </w:r>
          </w:p>
        </w:tc>
        <w:tc>
          <w:tcPr>
            <w:tcW w:w="1410" w:type="dxa"/>
            <w:tcBorders>
              <w:top w:val="single" w:sz="6" w:space="0" w:color="auto"/>
              <w:left w:val="nil"/>
              <w:bottom w:val="single" w:sz="6" w:space="0" w:color="auto"/>
              <w:right w:val="single" w:sz="6" w:space="0" w:color="auto"/>
            </w:tcBorders>
            <w:shd w:val="clear" w:color="auto" w:fill="ACB9CA"/>
            <w:vAlign w:val="center"/>
            <w:hideMark/>
          </w:tcPr>
          <w:p w14:paraId="6F52D41D" w14:textId="1FAF75D1" w:rsidR="003434C4" w:rsidRPr="003434C4" w:rsidRDefault="003434C4" w:rsidP="003434C4">
            <w:pPr>
              <w:spacing w:line="360" w:lineRule="auto"/>
              <w:jc w:val="center"/>
              <w:rPr>
                <w:rFonts w:asciiTheme="minorHAnsi" w:hAnsiTheme="minorHAnsi" w:cstheme="minorHAnsi"/>
                <w:szCs w:val="22"/>
              </w:rPr>
            </w:pPr>
            <w:r w:rsidRPr="003434C4">
              <w:rPr>
                <w:rFonts w:asciiTheme="minorHAnsi" w:hAnsiTheme="minorHAnsi" w:cstheme="minorHAnsi"/>
                <w:szCs w:val="22"/>
              </w:rPr>
              <w:t>31.12.2024</w:t>
            </w:r>
          </w:p>
        </w:tc>
        <w:tc>
          <w:tcPr>
            <w:tcW w:w="2160" w:type="dxa"/>
            <w:tcBorders>
              <w:top w:val="single" w:sz="6" w:space="0" w:color="auto"/>
              <w:left w:val="nil"/>
              <w:bottom w:val="single" w:sz="6" w:space="0" w:color="auto"/>
              <w:right w:val="single" w:sz="6" w:space="0" w:color="auto"/>
            </w:tcBorders>
            <w:shd w:val="clear" w:color="auto" w:fill="ACB9CA"/>
            <w:vAlign w:val="center"/>
            <w:hideMark/>
          </w:tcPr>
          <w:p w14:paraId="57A04549" w14:textId="29478A39" w:rsidR="003434C4" w:rsidRPr="003434C4" w:rsidRDefault="003434C4" w:rsidP="003434C4">
            <w:pPr>
              <w:spacing w:line="360" w:lineRule="auto"/>
              <w:jc w:val="center"/>
              <w:rPr>
                <w:rFonts w:asciiTheme="minorHAnsi" w:hAnsiTheme="minorHAnsi" w:cstheme="minorHAnsi"/>
                <w:szCs w:val="22"/>
              </w:rPr>
            </w:pPr>
            <w:r w:rsidRPr="003434C4">
              <w:rPr>
                <w:rFonts w:asciiTheme="minorHAnsi" w:hAnsiTheme="minorHAnsi" w:cstheme="minorHAnsi"/>
                <w:b/>
                <w:bCs/>
                <w:szCs w:val="22"/>
              </w:rPr>
              <w:t>Algtase seisuga 30.10.2025</w:t>
            </w:r>
          </w:p>
        </w:tc>
        <w:tc>
          <w:tcPr>
            <w:tcW w:w="2949" w:type="dxa"/>
            <w:tcBorders>
              <w:top w:val="single" w:sz="6" w:space="0" w:color="auto"/>
              <w:left w:val="nil"/>
              <w:bottom w:val="single" w:sz="6" w:space="0" w:color="auto"/>
              <w:right w:val="single" w:sz="6" w:space="0" w:color="auto"/>
            </w:tcBorders>
            <w:shd w:val="clear" w:color="auto" w:fill="ACB9CA"/>
            <w:vAlign w:val="center"/>
            <w:hideMark/>
          </w:tcPr>
          <w:p w14:paraId="3A8ED8F6" w14:textId="388E887F" w:rsidR="003434C4" w:rsidRPr="003434C4" w:rsidRDefault="003434C4" w:rsidP="003434C4">
            <w:pPr>
              <w:spacing w:line="360" w:lineRule="auto"/>
              <w:jc w:val="center"/>
              <w:rPr>
                <w:rFonts w:asciiTheme="minorHAnsi" w:hAnsiTheme="minorHAnsi" w:cstheme="minorHAnsi"/>
                <w:szCs w:val="22"/>
              </w:rPr>
            </w:pPr>
            <w:r w:rsidRPr="003434C4">
              <w:rPr>
                <w:rFonts w:asciiTheme="minorHAnsi" w:hAnsiTheme="minorHAnsi" w:cstheme="minorHAnsi"/>
                <w:b/>
                <w:bCs/>
                <w:szCs w:val="22"/>
              </w:rPr>
              <w:t>Sihttase aastaks 2030</w:t>
            </w:r>
          </w:p>
        </w:tc>
      </w:tr>
      <w:tr w:rsidR="003434C4" w:rsidRPr="003434C4" w14:paraId="26579FC1" w14:textId="77777777" w:rsidTr="003434C4">
        <w:trPr>
          <w:trHeight w:val="720"/>
        </w:trPr>
        <w:tc>
          <w:tcPr>
            <w:tcW w:w="4665" w:type="dxa"/>
            <w:tcBorders>
              <w:top w:val="nil"/>
              <w:left w:val="single" w:sz="6" w:space="0" w:color="auto"/>
              <w:bottom w:val="single" w:sz="6" w:space="0" w:color="auto"/>
              <w:right w:val="single" w:sz="6" w:space="0" w:color="auto"/>
            </w:tcBorders>
            <w:vAlign w:val="center"/>
            <w:hideMark/>
          </w:tcPr>
          <w:p w14:paraId="74C8779B" w14:textId="77777777" w:rsidR="003434C4" w:rsidRPr="003434C4" w:rsidRDefault="003434C4" w:rsidP="003434C4">
            <w:pPr>
              <w:rPr>
                <w:rFonts w:asciiTheme="minorHAnsi" w:hAnsiTheme="minorHAnsi" w:cstheme="minorHAnsi"/>
                <w:szCs w:val="22"/>
              </w:rPr>
            </w:pPr>
            <w:r w:rsidRPr="003434C4">
              <w:rPr>
                <w:rFonts w:asciiTheme="minorHAnsi" w:hAnsiTheme="minorHAnsi" w:cstheme="minorHAnsi"/>
                <w:szCs w:val="22"/>
              </w:rPr>
              <w:t>Soolise ametialase integratsiooni indeksi (SAI) tõstmine </w:t>
            </w:r>
          </w:p>
        </w:tc>
        <w:tc>
          <w:tcPr>
            <w:tcW w:w="1380" w:type="dxa"/>
            <w:tcBorders>
              <w:top w:val="nil"/>
              <w:left w:val="nil"/>
              <w:bottom w:val="single" w:sz="6" w:space="0" w:color="auto"/>
              <w:right w:val="single" w:sz="6" w:space="0" w:color="auto"/>
            </w:tcBorders>
            <w:vAlign w:val="center"/>
            <w:hideMark/>
          </w:tcPr>
          <w:p w14:paraId="49A15DE9" w14:textId="4EACDEB1" w:rsidR="003434C4" w:rsidRPr="003434C4" w:rsidRDefault="003434C4" w:rsidP="003434C4">
            <w:pPr>
              <w:jc w:val="center"/>
              <w:rPr>
                <w:rFonts w:asciiTheme="minorHAnsi" w:hAnsiTheme="minorHAnsi" w:cstheme="minorHAnsi"/>
                <w:szCs w:val="22"/>
              </w:rPr>
            </w:pPr>
            <w:r w:rsidRPr="003434C4">
              <w:rPr>
                <w:rFonts w:asciiTheme="minorHAnsi" w:hAnsiTheme="minorHAnsi" w:cstheme="minorHAnsi"/>
                <w:szCs w:val="22"/>
              </w:rPr>
              <w:t>0,875</w:t>
            </w:r>
          </w:p>
        </w:tc>
        <w:tc>
          <w:tcPr>
            <w:tcW w:w="1335" w:type="dxa"/>
            <w:tcBorders>
              <w:top w:val="nil"/>
              <w:left w:val="nil"/>
              <w:bottom w:val="single" w:sz="6" w:space="0" w:color="auto"/>
              <w:right w:val="single" w:sz="6" w:space="0" w:color="auto"/>
            </w:tcBorders>
            <w:vAlign w:val="center"/>
            <w:hideMark/>
          </w:tcPr>
          <w:p w14:paraId="4E9C7D00" w14:textId="58E7FDE6" w:rsidR="003434C4" w:rsidRPr="003434C4" w:rsidRDefault="003434C4" w:rsidP="003434C4">
            <w:pPr>
              <w:jc w:val="center"/>
              <w:rPr>
                <w:rFonts w:asciiTheme="minorHAnsi" w:hAnsiTheme="minorHAnsi" w:cstheme="minorHAnsi"/>
                <w:szCs w:val="22"/>
              </w:rPr>
            </w:pPr>
            <w:r w:rsidRPr="003434C4">
              <w:rPr>
                <w:rFonts w:asciiTheme="minorHAnsi" w:hAnsiTheme="minorHAnsi" w:cstheme="minorHAnsi"/>
                <w:szCs w:val="22"/>
              </w:rPr>
              <w:t>0,883</w:t>
            </w:r>
          </w:p>
        </w:tc>
        <w:tc>
          <w:tcPr>
            <w:tcW w:w="1410" w:type="dxa"/>
            <w:tcBorders>
              <w:top w:val="nil"/>
              <w:left w:val="nil"/>
              <w:bottom w:val="single" w:sz="6" w:space="0" w:color="auto"/>
              <w:right w:val="single" w:sz="6" w:space="0" w:color="auto"/>
            </w:tcBorders>
            <w:vAlign w:val="center"/>
            <w:hideMark/>
          </w:tcPr>
          <w:p w14:paraId="64743C2B" w14:textId="570432FA" w:rsidR="003434C4" w:rsidRPr="003434C4" w:rsidRDefault="003434C4" w:rsidP="003434C4">
            <w:pPr>
              <w:jc w:val="center"/>
              <w:rPr>
                <w:rFonts w:asciiTheme="minorHAnsi" w:hAnsiTheme="minorHAnsi" w:cstheme="minorHAnsi"/>
                <w:szCs w:val="22"/>
              </w:rPr>
            </w:pPr>
            <w:r w:rsidRPr="003434C4">
              <w:rPr>
                <w:rFonts w:asciiTheme="minorHAnsi" w:hAnsiTheme="minorHAnsi" w:cstheme="minorHAnsi"/>
                <w:szCs w:val="22"/>
              </w:rPr>
              <w:t>0,896</w:t>
            </w:r>
          </w:p>
        </w:tc>
        <w:tc>
          <w:tcPr>
            <w:tcW w:w="2160" w:type="dxa"/>
            <w:tcBorders>
              <w:top w:val="nil"/>
              <w:left w:val="nil"/>
              <w:bottom w:val="single" w:sz="6" w:space="0" w:color="auto"/>
              <w:right w:val="single" w:sz="6" w:space="0" w:color="auto"/>
            </w:tcBorders>
            <w:vAlign w:val="center"/>
            <w:hideMark/>
          </w:tcPr>
          <w:p w14:paraId="5A352F49" w14:textId="5724732A" w:rsidR="003434C4" w:rsidRPr="003434C4" w:rsidRDefault="003434C4" w:rsidP="003434C4">
            <w:pPr>
              <w:jc w:val="center"/>
              <w:rPr>
                <w:rFonts w:asciiTheme="minorHAnsi" w:hAnsiTheme="minorHAnsi" w:cstheme="minorHAnsi"/>
                <w:szCs w:val="22"/>
              </w:rPr>
            </w:pPr>
          </w:p>
        </w:tc>
        <w:tc>
          <w:tcPr>
            <w:tcW w:w="2949" w:type="dxa"/>
            <w:tcBorders>
              <w:top w:val="nil"/>
              <w:left w:val="nil"/>
              <w:bottom w:val="single" w:sz="6" w:space="0" w:color="auto"/>
              <w:right w:val="single" w:sz="6" w:space="0" w:color="auto"/>
            </w:tcBorders>
            <w:vAlign w:val="center"/>
            <w:hideMark/>
          </w:tcPr>
          <w:p w14:paraId="4563F26A" w14:textId="4983D781" w:rsidR="003434C4" w:rsidRPr="003434C4" w:rsidRDefault="003434C4" w:rsidP="003434C4">
            <w:pPr>
              <w:jc w:val="center"/>
              <w:rPr>
                <w:rFonts w:asciiTheme="minorHAnsi" w:hAnsiTheme="minorHAnsi" w:cstheme="minorHAnsi"/>
                <w:szCs w:val="22"/>
              </w:rPr>
            </w:pPr>
            <w:r w:rsidRPr="003434C4">
              <w:rPr>
                <w:rFonts w:asciiTheme="minorHAnsi" w:hAnsiTheme="minorHAnsi" w:cstheme="minorHAnsi"/>
                <w:szCs w:val="22"/>
              </w:rPr>
              <w:t>0.9</w:t>
            </w:r>
          </w:p>
        </w:tc>
      </w:tr>
      <w:tr w:rsidR="003434C4" w:rsidRPr="003434C4" w14:paraId="3B8787B1" w14:textId="77777777" w:rsidTr="003434C4">
        <w:trPr>
          <w:trHeight w:val="675"/>
        </w:trPr>
        <w:tc>
          <w:tcPr>
            <w:tcW w:w="4665" w:type="dxa"/>
            <w:tcBorders>
              <w:top w:val="nil"/>
              <w:left w:val="single" w:sz="6" w:space="0" w:color="auto"/>
              <w:bottom w:val="single" w:sz="6" w:space="0" w:color="auto"/>
              <w:right w:val="single" w:sz="6" w:space="0" w:color="auto"/>
            </w:tcBorders>
            <w:vAlign w:val="center"/>
            <w:hideMark/>
          </w:tcPr>
          <w:p w14:paraId="0A988163" w14:textId="77777777" w:rsidR="003434C4" w:rsidRPr="003434C4" w:rsidRDefault="003434C4" w:rsidP="003434C4">
            <w:pPr>
              <w:rPr>
                <w:rFonts w:asciiTheme="minorHAnsi" w:hAnsiTheme="minorHAnsi" w:cstheme="minorHAnsi"/>
                <w:szCs w:val="22"/>
              </w:rPr>
            </w:pPr>
            <w:r w:rsidRPr="003434C4">
              <w:rPr>
                <w:rFonts w:asciiTheme="minorHAnsi" w:hAnsiTheme="minorHAnsi" w:cstheme="minorHAnsi"/>
                <w:szCs w:val="22"/>
              </w:rPr>
              <w:t>Professori ametikohtadel naiste osakaalu suurendamine </w:t>
            </w:r>
          </w:p>
        </w:tc>
        <w:tc>
          <w:tcPr>
            <w:tcW w:w="1380" w:type="dxa"/>
            <w:tcBorders>
              <w:top w:val="nil"/>
              <w:left w:val="nil"/>
              <w:bottom w:val="single" w:sz="6" w:space="0" w:color="auto"/>
              <w:right w:val="single" w:sz="6" w:space="0" w:color="auto"/>
            </w:tcBorders>
            <w:vAlign w:val="center"/>
            <w:hideMark/>
          </w:tcPr>
          <w:p w14:paraId="17A87761" w14:textId="2C630400" w:rsidR="003434C4" w:rsidRPr="003434C4" w:rsidRDefault="003434C4" w:rsidP="003434C4">
            <w:pPr>
              <w:jc w:val="center"/>
              <w:rPr>
                <w:rFonts w:asciiTheme="minorHAnsi" w:hAnsiTheme="minorHAnsi" w:cstheme="minorHAnsi"/>
                <w:szCs w:val="22"/>
              </w:rPr>
            </w:pPr>
            <w:r w:rsidRPr="003434C4">
              <w:rPr>
                <w:rFonts w:asciiTheme="minorHAnsi" w:hAnsiTheme="minorHAnsi" w:cstheme="minorHAnsi"/>
                <w:szCs w:val="22"/>
              </w:rPr>
              <w:t>21%</w:t>
            </w:r>
          </w:p>
        </w:tc>
        <w:tc>
          <w:tcPr>
            <w:tcW w:w="1335" w:type="dxa"/>
            <w:tcBorders>
              <w:top w:val="nil"/>
              <w:left w:val="nil"/>
              <w:bottom w:val="single" w:sz="6" w:space="0" w:color="auto"/>
              <w:right w:val="single" w:sz="6" w:space="0" w:color="auto"/>
            </w:tcBorders>
            <w:vAlign w:val="center"/>
            <w:hideMark/>
          </w:tcPr>
          <w:p w14:paraId="34F8717F" w14:textId="6D9D437F" w:rsidR="003434C4" w:rsidRPr="003434C4" w:rsidRDefault="003434C4" w:rsidP="003434C4">
            <w:pPr>
              <w:jc w:val="center"/>
              <w:rPr>
                <w:rFonts w:asciiTheme="minorHAnsi" w:hAnsiTheme="minorHAnsi" w:cstheme="minorHAnsi"/>
                <w:szCs w:val="22"/>
              </w:rPr>
            </w:pPr>
            <w:r w:rsidRPr="003434C4">
              <w:rPr>
                <w:rFonts w:asciiTheme="minorHAnsi" w:hAnsiTheme="minorHAnsi" w:cstheme="minorHAnsi"/>
                <w:szCs w:val="22"/>
              </w:rPr>
              <w:t>23%</w:t>
            </w:r>
          </w:p>
        </w:tc>
        <w:tc>
          <w:tcPr>
            <w:tcW w:w="1410" w:type="dxa"/>
            <w:tcBorders>
              <w:top w:val="nil"/>
              <w:left w:val="nil"/>
              <w:bottom w:val="single" w:sz="6" w:space="0" w:color="auto"/>
              <w:right w:val="single" w:sz="6" w:space="0" w:color="auto"/>
            </w:tcBorders>
            <w:vAlign w:val="center"/>
            <w:hideMark/>
          </w:tcPr>
          <w:p w14:paraId="3A26E3E3" w14:textId="453354A0" w:rsidR="003434C4" w:rsidRPr="003434C4" w:rsidRDefault="003434C4" w:rsidP="003434C4">
            <w:pPr>
              <w:jc w:val="center"/>
              <w:rPr>
                <w:rFonts w:asciiTheme="minorHAnsi" w:hAnsiTheme="minorHAnsi" w:cstheme="minorHAnsi"/>
                <w:szCs w:val="22"/>
              </w:rPr>
            </w:pPr>
            <w:r w:rsidRPr="003434C4">
              <w:rPr>
                <w:rFonts w:asciiTheme="minorHAnsi" w:hAnsiTheme="minorHAnsi" w:cstheme="minorHAnsi"/>
                <w:szCs w:val="22"/>
              </w:rPr>
              <w:t>27%</w:t>
            </w:r>
          </w:p>
        </w:tc>
        <w:tc>
          <w:tcPr>
            <w:tcW w:w="2160" w:type="dxa"/>
            <w:tcBorders>
              <w:top w:val="nil"/>
              <w:left w:val="nil"/>
              <w:bottom w:val="single" w:sz="6" w:space="0" w:color="auto"/>
              <w:right w:val="single" w:sz="6" w:space="0" w:color="auto"/>
            </w:tcBorders>
            <w:vAlign w:val="center"/>
            <w:hideMark/>
          </w:tcPr>
          <w:p w14:paraId="010151A3" w14:textId="5D4250C5" w:rsidR="003434C4" w:rsidRPr="003434C4" w:rsidRDefault="003434C4" w:rsidP="003434C4">
            <w:pPr>
              <w:jc w:val="center"/>
              <w:rPr>
                <w:rFonts w:asciiTheme="minorHAnsi" w:hAnsiTheme="minorHAnsi" w:cstheme="minorHAnsi"/>
                <w:szCs w:val="22"/>
              </w:rPr>
            </w:pPr>
            <w:r w:rsidRPr="003434C4">
              <w:rPr>
                <w:rFonts w:asciiTheme="minorHAnsi" w:hAnsiTheme="minorHAnsi" w:cstheme="minorHAnsi"/>
                <w:b/>
                <w:bCs/>
                <w:szCs w:val="22"/>
              </w:rPr>
              <w:t>28%</w:t>
            </w:r>
          </w:p>
        </w:tc>
        <w:tc>
          <w:tcPr>
            <w:tcW w:w="2949" w:type="dxa"/>
            <w:tcBorders>
              <w:top w:val="nil"/>
              <w:left w:val="nil"/>
              <w:bottom w:val="single" w:sz="6" w:space="0" w:color="auto"/>
              <w:right w:val="single" w:sz="6" w:space="0" w:color="auto"/>
            </w:tcBorders>
            <w:vAlign w:val="center"/>
            <w:hideMark/>
          </w:tcPr>
          <w:p w14:paraId="2B92D87A" w14:textId="6F3200D3" w:rsidR="003434C4" w:rsidRPr="003434C4" w:rsidRDefault="003434C4" w:rsidP="003434C4">
            <w:pPr>
              <w:jc w:val="center"/>
              <w:rPr>
                <w:rFonts w:asciiTheme="minorHAnsi" w:hAnsiTheme="minorHAnsi" w:cstheme="minorHAnsi"/>
                <w:szCs w:val="22"/>
              </w:rPr>
            </w:pPr>
            <w:r w:rsidRPr="003434C4">
              <w:rPr>
                <w:rFonts w:asciiTheme="minorHAnsi" w:hAnsiTheme="minorHAnsi" w:cstheme="minorHAnsi"/>
                <w:szCs w:val="22"/>
              </w:rPr>
              <w:t>Naiste osakaalu suurenemine</w:t>
            </w:r>
          </w:p>
        </w:tc>
      </w:tr>
      <w:tr w:rsidR="003434C4" w:rsidRPr="003434C4" w14:paraId="0F5756C6" w14:textId="77777777" w:rsidTr="003434C4">
        <w:trPr>
          <w:trHeight w:val="675"/>
        </w:trPr>
        <w:tc>
          <w:tcPr>
            <w:tcW w:w="4665" w:type="dxa"/>
            <w:tcBorders>
              <w:top w:val="nil"/>
              <w:left w:val="single" w:sz="6" w:space="0" w:color="auto"/>
              <w:bottom w:val="single" w:sz="6" w:space="0" w:color="auto"/>
              <w:right w:val="single" w:sz="6" w:space="0" w:color="auto"/>
            </w:tcBorders>
            <w:vAlign w:val="center"/>
            <w:hideMark/>
          </w:tcPr>
          <w:p w14:paraId="596D5872" w14:textId="77777777" w:rsidR="003434C4" w:rsidRPr="003434C4" w:rsidRDefault="003434C4" w:rsidP="003434C4">
            <w:pPr>
              <w:rPr>
                <w:rFonts w:asciiTheme="minorHAnsi" w:hAnsiTheme="minorHAnsi" w:cstheme="minorHAnsi"/>
                <w:szCs w:val="22"/>
              </w:rPr>
            </w:pPr>
            <w:r w:rsidRPr="003434C4">
              <w:rPr>
                <w:rFonts w:asciiTheme="minorHAnsi" w:hAnsiTheme="minorHAnsi" w:cstheme="minorHAnsi"/>
                <w:szCs w:val="22"/>
              </w:rPr>
              <w:t>Naiste osakaalu suurendamine juhtimises* </w:t>
            </w:r>
          </w:p>
        </w:tc>
        <w:tc>
          <w:tcPr>
            <w:tcW w:w="1380" w:type="dxa"/>
            <w:tcBorders>
              <w:top w:val="nil"/>
              <w:left w:val="nil"/>
              <w:bottom w:val="single" w:sz="6" w:space="0" w:color="auto"/>
              <w:right w:val="single" w:sz="6" w:space="0" w:color="auto"/>
            </w:tcBorders>
            <w:vAlign w:val="center"/>
            <w:hideMark/>
          </w:tcPr>
          <w:p w14:paraId="52E6E5FA" w14:textId="54217CD1" w:rsidR="003434C4" w:rsidRPr="003434C4" w:rsidRDefault="003434C4" w:rsidP="003434C4">
            <w:pPr>
              <w:jc w:val="center"/>
              <w:rPr>
                <w:rFonts w:asciiTheme="minorHAnsi" w:hAnsiTheme="minorHAnsi" w:cstheme="minorHAnsi"/>
                <w:szCs w:val="22"/>
              </w:rPr>
            </w:pPr>
          </w:p>
        </w:tc>
        <w:tc>
          <w:tcPr>
            <w:tcW w:w="1335" w:type="dxa"/>
            <w:tcBorders>
              <w:top w:val="nil"/>
              <w:left w:val="nil"/>
              <w:bottom w:val="single" w:sz="6" w:space="0" w:color="auto"/>
              <w:right w:val="single" w:sz="6" w:space="0" w:color="auto"/>
            </w:tcBorders>
            <w:vAlign w:val="center"/>
            <w:hideMark/>
          </w:tcPr>
          <w:p w14:paraId="7F119C7B" w14:textId="23BE434E" w:rsidR="003434C4" w:rsidRPr="003434C4" w:rsidRDefault="003434C4" w:rsidP="003434C4">
            <w:pPr>
              <w:jc w:val="center"/>
              <w:rPr>
                <w:rFonts w:asciiTheme="minorHAnsi" w:hAnsiTheme="minorHAnsi" w:cstheme="minorHAnsi"/>
                <w:szCs w:val="22"/>
              </w:rPr>
            </w:pPr>
            <w:r w:rsidRPr="003434C4">
              <w:rPr>
                <w:rFonts w:asciiTheme="minorHAnsi" w:hAnsiTheme="minorHAnsi" w:cstheme="minorHAnsi"/>
                <w:szCs w:val="22"/>
              </w:rPr>
              <w:t>42%</w:t>
            </w:r>
          </w:p>
        </w:tc>
        <w:tc>
          <w:tcPr>
            <w:tcW w:w="1410" w:type="dxa"/>
            <w:tcBorders>
              <w:top w:val="nil"/>
              <w:left w:val="nil"/>
              <w:bottom w:val="single" w:sz="6" w:space="0" w:color="auto"/>
              <w:right w:val="single" w:sz="6" w:space="0" w:color="auto"/>
            </w:tcBorders>
            <w:vAlign w:val="center"/>
            <w:hideMark/>
          </w:tcPr>
          <w:p w14:paraId="61AD13C4" w14:textId="5528D7F5" w:rsidR="003434C4" w:rsidRPr="003434C4" w:rsidRDefault="003434C4" w:rsidP="003434C4">
            <w:pPr>
              <w:jc w:val="center"/>
              <w:rPr>
                <w:rFonts w:asciiTheme="minorHAnsi" w:hAnsiTheme="minorHAnsi" w:cstheme="minorHAnsi"/>
                <w:szCs w:val="22"/>
              </w:rPr>
            </w:pPr>
            <w:r w:rsidRPr="003434C4">
              <w:rPr>
                <w:rFonts w:asciiTheme="minorHAnsi" w:hAnsiTheme="minorHAnsi" w:cstheme="minorHAnsi"/>
                <w:szCs w:val="22"/>
              </w:rPr>
              <w:t>38%</w:t>
            </w:r>
          </w:p>
        </w:tc>
        <w:tc>
          <w:tcPr>
            <w:tcW w:w="2160" w:type="dxa"/>
            <w:tcBorders>
              <w:top w:val="nil"/>
              <w:left w:val="nil"/>
              <w:bottom w:val="single" w:sz="6" w:space="0" w:color="auto"/>
              <w:right w:val="single" w:sz="6" w:space="0" w:color="auto"/>
            </w:tcBorders>
            <w:vAlign w:val="center"/>
            <w:hideMark/>
          </w:tcPr>
          <w:p w14:paraId="47DC346C" w14:textId="1AF1BCEE" w:rsidR="003434C4" w:rsidRPr="003434C4" w:rsidRDefault="003434C4" w:rsidP="003434C4">
            <w:pPr>
              <w:jc w:val="center"/>
              <w:rPr>
                <w:rFonts w:asciiTheme="minorHAnsi" w:hAnsiTheme="minorHAnsi" w:cstheme="minorHAnsi"/>
                <w:szCs w:val="22"/>
              </w:rPr>
            </w:pPr>
            <w:r w:rsidRPr="003434C4">
              <w:rPr>
                <w:rFonts w:asciiTheme="minorHAnsi" w:hAnsiTheme="minorHAnsi" w:cstheme="minorHAnsi"/>
                <w:b/>
                <w:bCs/>
                <w:szCs w:val="22"/>
              </w:rPr>
              <w:t>40%</w:t>
            </w:r>
          </w:p>
        </w:tc>
        <w:tc>
          <w:tcPr>
            <w:tcW w:w="2949" w:type="dxa"/>
            <w:tcBorders>
              <w:top w:val="nil"/>
              <w:left w:val="nil"/>
              <w:bottom w:val="single" w:sz="6" w:space="0" w:color="auto"/>
              <w:right w:val="single" w:sz="6" w:space="0" w:color="auto"/>
            </w:tcBorders>
            <w:vAlign w:val="center"/>
            <w:hideMark/>
          </w:tcPr>
          <w:p w14:paraId="65D3F47D" w14:textId="5241477E" w:rsidR="003434C4" w:rsidRPr="003434C4" w:rsidRDefault="003434C4" w:rsidP="003434C4">
            <w:pPr>
              <w:jc w:val="center"/>
              <w:rPr>
                <w:rFonts w:asciiTheme="minorHAnsi" w:hAnsiTheme="minorHAnsi" w:cstheme="minorHAnsi"/>
                <w:szCs w:val="22"/>
              </w:rPr>
            </w:pPr>
            <w:r w:rsidRPr="003434C4">
              <w:rPr>
                <w:rFonts w:asciiTheme="minorHAnsi" w:hAnsiTheme="minorHAnsi" w:cstheme="minorHAnsi"/>
                <w:szCs w:val="22"/>
              </w:rPr>
              <w:t>Naiste osakaalu suurenemine</w:t>
            </w:r>
          </w:p>
        </w:tc>
      </w:tr>
    </w:tbl>
    <w:p w14:paraId="24A8AAF8" w14:textId="77777777" w:rsidR="003434C4" w:rsidRPr="003434C4" w:rsidRDefault="003434C4" w:rsidP="003434C4">
      <w:pPr>
        <w:spacing w:line="360" w:lineRule="auto"/>
        <w:jc w:val="both"/>
        <w:rPr>
          <w:rFonts w:asciiTheme="minorHAnsi" w:hAnsiTheme="minorHAnsi" w:cstheme="minorHAnsi"/>
          <w:szCs w:val="22"/>
        </w:rPr>
      </w:pPr>
      <w:r w:rsidRPr="003434C4">
        <w:rPr>
          <w:rFonts w:asciiTheme="minorHAnsi" w:hAnsiTheme="minorHAnsi" w:cstheme="minorHAnsi"/>
          <w:szCs w:val="22"/>
        </w:rPr>
        <w:t> </w:t>
      </w:r>
    </w:p>
    <w:p w14:paraId="75B3B90B" w14:textId="77777777" w:rsidR="003434C4" w:rsidRPr="003434C4" w:rsidRDefault="003434C4" w:rsidP="003434C4">
      <w:pPr>
        <w:spacing w:line="360" w:lineRule="auto"/>
        <w:jc w:val="both"/>
        <w:rPr>
          <w:rFonts w:asciiTheme="minorHAnsi" w:hAnsiTheme="minorHAnsi" w:cstheme="minorHAnsi"/>
          <w:szCs w:val="22"/>
        </w:rPr>
      </w:pPr>
      <w:r w:rsidRPr="003434C4">
        <w:rPr>
          <w:rFonts w:asciiTheme="minorHAnsi" w:hAnsiTheme="minorHAnsi" w:cstheme="minorHAnsi"/>
          <w:szCs w:val="22"/>
        </w:rPr>
        <w:t>*</w:t>
      </w:r>
      <w:proofErr w:type="spellStart"/>
      <w:r w:rsidRPr="003434C4">
        <w:rPr>
          <w:rFonts w:asciiTheme="minorHAnsi" w:hAnsiTheme="minorHAnsi" w:cstheme="minorHAnsi"/>
          <w:szCs w:val="22"/>
        </w:rPr>
        <w:t>tippjuhtkond+keskastmete</w:t>
      </w:r>
      <w:proofErr w:type="spellEnd"/>
      <w:r w:rsidRPr="003434C4">
        <w:rPr>
          <w:rFonts w:asciiTheme="minorHAnsi" w:hAnsiTheme="minorHAnsi" w:cstheme="minorHAnsi"/>
          <w:szCs w:val="22"/>
        </w:rPr>
        <w:t> juhid </w:t>
      </w:r>
    </w:p>
    <w:p w14:paraId="7D1545CA" w14:textId="77777777" w:rsidR="0098699A" w:rsidRPr="001C72DD" w:rsidRDefault="0098699A" w:rsidP="003434C4">
      <w:pPr>
        <w:spacing w:line="360" w:lineRule="auto"/>
        <w:jc w:val="both"/>
      </w:pPr>
    </w:p>
    <w:p w14:paraId="17D511CA" w14:textId="77777777" w:rsidR="00266E9B" w:rsidRPr="001C72DD" w:rsidRDefault="00266E9B" w:rsidP="00174FF5"/>
    <w:sectPr w:rsidR="00266E9B" w:rsidRPr="001C72DD" w:rsidSect="003434C4">
      <w:pgSz w:w="16838" w:h="11906" w:orient="landscape" w:code="9"/>
      <w:pgMar w:top="1701" w:right="680" w:bottom="851" w:left="680" w:header="397" w:footer="51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0724F" w14:textId="77777777" w:rsidR="003434C4" w:rsidRDefault="003434C4">
      <w:r>
        <w:separator/>
      </w:r>
    </w:p>
  </w:endnote>
  <w:endnote w:type="continuationSeparator" w:id="0">
    <w:p w14:paraId="17AB4B16" w14:textId="77777777" w:rsidR="003434C4" w:rsidRDefault="00343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6D20D" w14:textId="77777777" w:rsidR="003434C4" w:rsidRDefault="006D07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05192F" w14:textId="77777777" w:rsidR="003434C4" w:rsidRDefault="00343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0D144" w14:textId="77777777" w:rsidR="003434C4" w:rsidRDefault="003434C4">
      <w:r>
        <w:separator/>
      </w:r>
    </w:p>
  </w:footnote>
  <w:footnote w:type="continuationSeparator" w:id="0">
    <w:p w14:paraId="5508329C" w14:textId="77777777" w:rsidR="003434C4" w:rsidRDefault="00343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4760" w14:textId="77777777" w:rsidR="003434C4" w:rsidRDefault="006D07D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9E1A2D" w14:textId="77777777" w:rsidR="003434C4" w:rsidRDefault="003434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718336"/>
      <w:docPartObj>
        <w:docPartGallery w:val="Page Numbers (Top of Page)"/>
        <w:docPartUnique/>
      </w:docPartObj>
    </w:sdtPr>
    <w:sdtEndPr/>
    <w:sdtContent>
      <w:p w14:paraId="570D2C05" w14:textId="77777777" w:rsidR="0098699A" w:rsidRDefault="0098699A">
        <w:pPr>
          <w:pStyle w:val="Header"/>
          <w:jc w:val="center"/>
        </w:pPr>
        <w:r>
          <w:fldChar w:fldCharType="begin"/>
        </w:r>
        <w:r>
          <w:instrText>PAGE   \* MERGEFORMAT</w:instrText>
        </w:r>
        <w:r>
          <w:fldChar w:fldCharType="separate"/>
        </w:r>
        <w:r w:rsidR="00C55DDC">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35C2"/>
    <w:multiLevelType w:val="multilevel"/>
    <w:tmpl w:val="035E8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803712"/>
    <w:multiLevelType w:val="multilevel"/>
    <w:tmpl w:val="CCB0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5021EB"/>
    <w:multiLevelType w:val="multilevel"/>
    <w:tmpl w:val="08C0FE5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293E5B03"/>
    <w:multiLevelType w:val="multilevel"/>
    <w:tmpl w:val="AA4C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040D31"/>
    <w:multiLevelType w:val="multilevel"/>
    <w:tmpl w:val="49141AD8"/>
    <w:lvl w:ilvl="0">
      <w:start w:val="1"/>
      <w:numFmt w:val="decimal"/>
      <w:suff w:val="space"/>
      <w:lvlText w:val="§ %1. "/>
      <w:lvlJc w:val="left"/>
      <w:pPr>
        <w:ind w:left="568" w:firstLine="0"/>
      </w:pPr>
      <w:rPr>
        <w:rFonts w:hint="default"/>
        <w:b/>
        <w:i w:val="0"/>
      </w:rPr>
    </w:lvl>
    <w:lvl w:ilvl="1">
      <w:start w:val="1"/>
      <w:numFmt w:val="decimal"/>
      <w:pStyle w:val="Bodym"/>
      <w:suff w:val="space"/>
      <w:lvlText w:val="(%2)"/>
      <w:lvlJc w:val="left"/>
      <w:pPr>
        <w:ind w:left="4962" w:firstLine="0"/>
      </w:pPr>
      <w:rPr>
        <w:rFonts w:hint="default"/>
        <w:color w:val="auto"/>
      </w:rPr>
    </w:lvl>
    <w:lvl w:ilvl="2">
      <w:start w:val="1"/>
      <w:numFmt w:val="decimal"/>
      <w:pStyle w:val="Bodym1"/>
      <w:suff w:val="space"/>
      <w:lvlText w:val="%3)"/>
      <w:lvlJc w:val="left"/>
      <w:pPr>
        <w:ind w:left="0" w:firstLine="0"/>
      </w:pPr>
      <w:rPr>
        <w:rFonts w:hint="default"/>
      </w:rPr>
    </w:lvl>
    <w:lvl w:ilvl="3">
      <w:start w:val="1"/>
      <w:numFmt w:val="decimal"/>
      <w:lvlText w:val="%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37A746A1"/>
    <w:multiLevelType w:val="multilevel"/>
    <w:tmpl w:val="9CDAED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AA3224"/>
    <w:multiLevelType w:val="multilevel"/>
    <w:tmpl w:val="91CA5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A82917"/>
    <w:multiLevelType w:val="multilevel"/>
    <w:tmpl w:val="143EE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1D23FC"/>
    <w:multiLevelType w:val="multilevel"/>
    <w:tmpl w:val="63E81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2027A1"/>
    <w:multiLevelType w:val="multilevel"/>
    <w:tmpl w:val="36B04610"/>
    <w:lvl w:ilvl="0">
      <w:start w:val="1"/>
      <w:numFmt w:val="decimal"/>
      <w:pStyle w:val="Lisatekst"/>
      <w:suff w:val="space"/>
      <w:lvlText w:val="%1."/>
      <w:lvlJc w:val="left"/>
      <w:pPr>
        <w:ind w:left="0" w:firstLine="0"/>
      </w:pPr>
      <w:rPr>
        <w:rFonts w:hint="default"/>
      </w:rPr>
    </w:lvl>
    <w:lvl w:ilvl="1">
      <w:start w:val="1"/>
      <w:numFmt w:val="decimal"/>
      <w:pStyle w:val="LisaBodyt"/>
      <w:suff w:val="space"/>
      <w:lvlText w:val="%1.%2"/>
      <w:lvlJc w:val="left"/>
      <w:pPr>
        <w:ind w:left="0" w:firstLine="0"/>
      </w:pPr>
      <w:rPr>
        <w:rFonts w:hint="default"/>
      </w:rPr>
    </w:lvl>
    <w:lvl w:ilvl="2">
      <w:start w:val="1"/>
      <w:numFmt w:val="decimal"/>
      <w:pStyle w:val="LisaBodyt2"/>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35274B8"/>
    <w:multiLevelType w:val="multilevel"/>
    <w:tmpl w:val="A152323A"/>
    <w:lvl w:ilvl="0">
      <w:start w:val="1"/>
      <w:numFmt w:val="decimal"/>
      <w:suff w:val="space"/>
      <w:lvlText w:val="%1."/>
      <w:lvlJc w:val="left"/>
      <w:pPr>
        <w:ind w:left="0" w:firstLine="0"/>
      </w:pPr>
      <w:rPr>
        <w:rFonts w:hint="default"/>
      </w:rPr>
    </w:lvl>
    <w:lvl w:ilvl="1">
      <w:start w:val="1"/>
      <w:numFmt w:val="decimal"/>
      <w:pStyle w:val="Bodyt"/>
      <w:suff w:val="space"/>
      <w:lvlText w:val="%1.%2"/>
      <w:lvlJc w:val="left"/>
      <w:pPr>
        <w:ind w:left="0" w:firstLine="0"/>
      </w:pPr>
      <w:rPr>
        <w:rFonts w:hint="default"/>
      </w:rPr>
    </w:lvl>
    <w:lvl w:ilvl="2">
      <w:start w:val="1"/>
      <w:numFmt w:val="decimal"/>
      <w:pStyle w:val="Bodyt1"/>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494232B3"/>
    <w:multiLevelType w:val="multilevel"/>
    <w:tmpl w:val="5B60D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3C235E"/>
    <w:multiLevelType w:val="multilevel"/>
    <w:tmpl w:val="0CEC1656"/>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21B179B"/>
    <w:multiLevelType w:val="multilevel"/>
    <w:tmpl w:val="B456D0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006DEF"/>
    <w:multiLevelType w:val="multilevel"/>
    <w:tmpl w:val="6E10C3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081014"/>
    <w:multiLevelType w:val="multilevel"/>
    <w:tmpl w:val="248E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E07D99"/>
    <w:multiLevelType w:val="multilevel"/>
    <w:tmpl w:val="218E9BF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1A9278F"/>
    <w:multiLevelType w:val="multilevel"/>
    <w:tmpl w:val="BD1A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001177"/>
    <w:multiLevelType w:val="multilevel"/>
    <w:tmpl w:val="64E4EAF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74773945"/>
    <w:multiLevelType w:val="multilevel"/>
    <w:tmpl w:val="806A04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5C97D05"/>
    <w:multiLevelType w:val="multilevel"/>
    <w:tmpl w:val="FECA3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6A7C5C"/>
    <w:multiLevelType w:val="multilevel"/>
    <w:tmpl w:val="8EBC68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795575CB"/>
    <w:multiLevelType w:val="multilevel"/>
    <w:tmpl w:val="6FFC77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710839743">
    <w:abstractNumId w:val="18"/>
  </w:num>
  <w:num w:numId="2" w16cid:durableId="1588154930">
    <w:abstractNumId w:val="21"/>
  </w:num>
  <w:num w:numId="3" w16cid:durableId="430317156">
    <w:abstractNumId w:val="2"/>
  </w:num>
  <w:num w:numId="4" w16cid:durableId="2011984515">
    <w:abstractNumId w:val="10"/>
  </w:num>
  <w:num w:numId="5" w16cid:durableId="1340229423">
    <w:abstractNumId w:val="9"/>
  </w:num>
  <w:num w:numId="6" w16cid:durableId="558396202">
    <w:abstractNumId w:val="9"/>
    <w:lvlOverride w:ilvl="0">
      <w:lvl w:ilvl="0">
        <w:start w:val="1"/>
        <w:numFmt w:val="decimal"/>
        <w:pStyle w:val="Lisatekst"/>
        <w:suff w:val="space"/>
        <w:lvlText w:val="%1."/>
        <w:lvlJc w:val="left"/>
        <w:pPr>
          <w:ind w:left="0" w:firstLine="0"/>
        </w:pPr>
        <w:rPr>
          <w:rFonts w:hint="default"/>
        </w:rPr>
      </w:lvl>
    </w:lvlOverride>
    <w:lvlOverride w:ilvl="1">
      <w:lvl w:ilvl="1">
        <w:start w:val="1"/>
        <w:numFmt w:val="decimal"/>
        <w:pStyle w:val="LisaBodyt"/>
        <w:suff w:val="space"/>
        <w:lvlText w:val="%1.%2"/>
        <w:lvlJc w:val="left"/>
        <w:pPr>
          <w:ind w:left="0" w:firstLine="0"/>
        </w:pPr>
        <w:rPr>
          <w:rFonts w:hint="default"/>
        </w:rPr>
      </w:lvl>
    </w:lvlOverride>
    <w:lvlOverride w:ilvl="2">
      <w:lvl w:ilvl="2">
        <w:start w:val="1"/>
        <w:numFmt w:val="decimal"/>
        <w:pStyle w:val="LisaBodyt2"/>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7" w16cid:durableId="1276789143">
    <w:abstractNumId w:val="16"/>
  </w:num>
  <w:num w:numId="8" w16cid:durableId="777141891">
    <w:abstractNumId w:val="4"/>
  </w:num>
  <w:num w:numId="9" w16cid:durableId="2132550878">
    <w:abstractNumId w:val="4"/>
  </w:num>
  <w:num w:numId="10" w16cid:durableId="233247330">
    <w:abstractNumId w:val="10"/>
  </w:num>
  <w:num w:numId="11" w16cid:durableId="1301691726">
    <w:abstractNumId w:val="10"/>
  </w:num>
  <w:num w:numId="12" w16cid:durableId="239366627">
    <w:abstractNumId w:val="10"/>
  </w:num>
  <w:num w:numId="13" w16cid:durableId="1499734785">
    <w:abstractNumId w:val="7"/>
  </w:num>
  <w:num w:numId="14" w16cid:durableId="791438399">
    <w:abstractNumId w:val="3"/>
  </w:num>
  <w:num w:numId="15" w16cid:durableId="1580676622">
    <w:abstractNumId w:val="20"/>
  </w:num>
  <w:num w:numId="16" w16cid:durableId="294605801">
    <w:abstractNumId w:val="1"/>
  </w:num>
  <w:num w:numId="17" w16cid:durableId="131213651">
    <w:abstractNumId w:val="15"/>
  </w:num>
  <w:num w:numId="18" w16cid:durableId="536821061">
    <w:abstractNumId w:val="17"/>
  </w:num>
  <w:num w:numId="19" w16cid:durableId="2038773822">
    <w:abstractNumId w:val="8"/>
  </w:num>
  <w:num w:numId="20" w16cid:durableId="351229814">
    <w:abstractNumId w:val="0"/>
  </w:num>
  <w:num w:numId="21" w16cid:durableId="1089235911">
    <w:abstractNumId w:val="6"/>
  </w:num>
  <w:num w:numId="22" w16cid:durableId="109475423">
    <w:abstractNumId w:val="13"/>
  </w:num>
  <w:num w:numId="23" w16cid:durableId="1279213774">
    <w:abstractNumId w:val="19"/>
  </w:num>
  <w:num w:numId="24" w16cid:durableId="2025398317">
    <w:abstractNumId w:val="22"/>
  </w:num>
  <w:num w:numId="25" w16cid:durableId="620570576">
    <w:abstractNumId w:val="12"/>
  </w:num>
  <w:num w:numId="26" w16cid:durableId="1402798834">
    <w:abstractNumId w:val="11"/>
  </w:num>
  <w:num w:numId="27" w16cid:durableId="2099280390">
    <w:abstractNumId w:val="14"/>
  </w:num>
  <w:num w:numId="28" w16cid:durableId="389115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3"/>
  <w:drawingGridVerticalSpacing w:val="113"/>
  <w:displayVerticalDrawingGridEvery w:val="0"/>
  <w:doNotUseMarginsForDrawingGridOrigin/>
  <w:drawingGridVerticalOrigin w:val="1985"/>
  <w:noPunctuationKerning/>
  <w:characterSpacingControl w:val="doNotCompress"/>
  <w:hdrShapeDefaults>
    <o:shapedefaults v:ext="edit" spidmax="2050" fillcolor="white">
      <v:fill color="white"/>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4C4"/>
    <w:rsid w:val="00005AB4"/>
    <w:rsid w:val="00020028"/>
    <w:rsid w:val="0003207A"/>
    <w:rsid w:val="00065EA5"/>
    <w:rsid w:val="0015159C"/>
    <w:rsid w:val="00174FF5"/>
    <w:rsid w:val="00181FE5"/>
    <w:rsid w:val="00186FC2"/>
    <w:rsid w:val="00191C92"/>
    <w:rsid w:val="001A48DE"/>
    <w:rsid w:val="001C72DD"/>
    <w:rsid w:val="0020707E"/>
    <w:rsid w:val="00216D52"/>
    <w:rsid w:val="00223C38"/>
    <w:rsid w:val="00224DE4"/>
    <w:rsid w:val="00263DEF"/>
    <w:rsid w:val="0026472F"/>
    <w:rsid w:val="00266E9B"/>
    <w:rsid w:val="002710B9"/>
    <w:rsid w:val="00292D3B"/>
    <w:rsid w:val="00296B12"/>
    <w:rsid w:val="002C2453"/>
    <w:rsid w:val="002D4CA8"/>
    <w:rsid w:val="002D4DAE"/>
    <w:rsid w:val="002E42B7"/>
    <w:rsid w:val="002F4CFD"/>
    <w:rsid w:val="003111FD"/>
    <w:rsid w:val="00316C91"/>
    <w:rsid w:val="0032275A"/>
    <w:rsid w:val="003434C4"/>
    <w:rsid w:val="003534D4"/>
    <w:rsid w:val="003E3BF3"/>
    <w:rsid w:val="003E47C5"/>
    <w:rsid w:val="00446029"/>
    <w:rsid w:val="004849B4"/>
    <w:rsid w:val="00490791"/>
    <w:rsid w:val="004A7ED8"/>
    <w:rsid w:val="004B2413"/>
    <w:rsid w:val="004C4600"/>
    <w:rsid w:val="004D5FCA"/>
    <w:rsid w:val="004F6479"/>
    <w:rsid w:val="005078D2"/>
    <w:rsid w:val="00516127"/>
    <w:rsid w:val="005226E5"/>
    <w:rsid w:val="00581B1E"/>
    <w:rsid w:val="005916D1"/>
    <w:rsid w:val="00594466"/>
    <w:rsid w:val="005C7E55"/>
    <w:rsid w:val="00601459"/>
    <w:rsid w:val="00612761"/>
    <w:rsid w:val="00652A11"/>
    <w:rsid w:val="00675987"/>
    <w:rsid w:val="006D07D8"/>
    <w:rsid w:val="007402B4"/>
    <w:rsid w:val="007812FC"/>
    <w:rsid w:val="00795AF6"/>
    <w:rsid w:val="007A4F68"/>
    <w:rsid w:val="007B183B"/>
    <w:rsid w:val="00821FA5"/>
    <w:rsid w:val="00844750"/>
    <w:rsid w:val="00890DF3"/>
    <w:rsid w:val="008A6BC1"/>
    <w:rsid w:val="008B6D49"/>
    <w:rsid w:val="008C3AB8"/>
    <w:rsid w:val="008C79F9"/>
    <w:rsid w:val="008D2DCA"/>
    <w:rsid w:val="008F28A4"/>
    <w:rsid w:val="00913C19"/>
    <w:rsid w:val="00930C7C"/>
    <w:rsid w:val="009505B7"/>
    <w:rsid w:val="0097641D"/>
    <w:rsid w:val="0098699A"/>
    <w:rsid w:val="009B5254"/>
    <w:rsid w:val="009D638A"/>
    <w:rsid w:val="009F71F0"/>
    <w:rsid w:val="00A44096"/>
    <w:rsid w:val="00A51164"/>
    <w:rsid w:val="00A6532D"/>
    <w:rsid w:val="00A66EC1"/>
    <w:rsid w:val="00A80EC2"/>
    <w:rsid w:val="00AB7B24"/>
    <w:rsid w:val="00B1592C"/>
    <w:rsid w:val="00B170B0"/>
    <w:rsid w:val="00B3445F"/>
    <w:rsid w:val="00B3617D"/>
    <w:rsid w:val="00B4405D"/>
    <w:rsid w:val="00B516F0"/>
    <w:rsid w:val="00B71485"/>
    <w:rsid w:val="00B85859"/>
    <w:rsid w:val="00BA5708"/>
    <w:rsid w:val="00BA5FA8"/>
    <w:rsid w:val="00BB38D5"/>
    <w:rsid w:val="00BB7B8E"/>
    <w:rsid w:val="00BD6F54"/>
    <w:rsid w:val="00C06D7B"/>
    <w:rsid w:val="00C3154A"/>
    <w:rsid w:val="00C47413"/>
    <w:rsid w:val="00C55AEF"/>
    <w:rsid w:val="00C55DDC"/>
    <w:rsid w:val="00C665D7"/>
    <w:rsid w:val="00C720C2"/>
    <w:rsid w:val="00C82D40"/>
    <w:rsid w:val="00CB492A"/>
    <w:rsid w:val="00CC001A"/>
    <w:rsid w:val="00CC2AFF"/>
    <w:rsid w:val="00CE328A"/>
    <w:rsid w:val="00CF4B4B"/>
    <w:rsid w:val="00CF503E"/>
    <w:rsid w:val="00D17E69"/>
    <w:rsid w:val="00D24662"/>
    <w:rsid w:val="00D43664"/>
    <w:rsid w:val="00D57D51"/>
    <w:rsid w:val="00E359AA"/>
    <w:rsid w:val="00E41160"/>
    <w:rsid w:val="00E44CAE"/>
    <w:rsid w:val="00E51D5F"/>
    <w:rsid w:val="00E7551A"/>
    <w:rsid w:val="00E94E83"/>
    <w:rsid w:val="00EA7DD5"/>
    <w:rsid w:val="00EB24EF"/>
    <w:rsid w:val="00ED183F"/>
    <w:rsid w:val="00EE150D"/>
    <w:rsid w:val="00F46FA9"/>
    <w:rsid w:val="00F67FE3"/>
    <w:rsid w:val="00F73D33"/>
    <w:rsid w:val="00F74BFC"/>
    <w:rsid w:val="00FA39DC"/>
    <w:rsid w:val="00FC794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
    </o:shapedefaults>
    <o:shapelayout v:ext="edit">
      <o:idmap v:ext="edit" data="2"/>
    </o:shapelayout>
  </w:shapeDefaults>
  <w:decimalSymbol w:val=","/>
  <w:listSeparator w:val=";"/>
  <w14:docId w14:val="7D8D1C2C"/>
  <w15:docId w15:val="{6F2A4765-F38A-44B4-9961-FFFE15C73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59AA"/>
  </w:style>
  <w:style w:type="paragraph" w:styleId="Heading1">
    <w:name w:val="heading 1"/>
    <w:basedOn w:val="Normal"/>
    <w:next w:val="Normal"/>
    <w:qFormat/>
    <w:pPr>
      <w:keepNext/>
      <w:numPr>
        <w:numId w:val="2"/>
      </w:numPr>
      <w:spacing w:before="240" w:after="60"/>
      <w:jc w:val="both"/>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spacing w:before="240" w:after="60"/>
      <w:outlineLvl w:val="1"/>
    </w:pPr>
    <w:rPr>
      <w:rFonts w:ascii="Arial" w:hAnsi="Arial"/>
      <w:b/>
      <w:iCs/>
      <w:sz w:val="28"/>
      <w:szCs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rsid w:val="00E359AA"/>
  </w:style>
  <w:style w:type="character" w:styleId="PageNumber">
    <w:name w:val="page number"/>
    <w:basedOn w:val="DefaultParagraphFont"/>
  </w:style>
  <w:style w:type="paragraph" w:customStyle="1" w:styleId="Dokumendinimetus">
    <w:name w:val="Dokumendi nimetus"/>
    <w:basedOn w:val="Normal"/>
    <w:next w:val="BodyText"/>
    <w:qFormat/>
    <w:rsid w:val="00E7551A"/>
    <w:pPr>
      <w:spacing w:before="960"/>
      <w:ind w:right="4706"/>
    </w:pPr>
    <w:rPr>
      <w:caps/>
      <w:sz w:val="28"/>
    </w:rPr>
  </w:style>
  <w:style w:type="paragraph" w:customStyle="1" w:styleId="Pea">
    <w:name w:val="Pea"/>
    <w:basedOn w:val="BodyText"/>
    <w:pPr>
      <w:tabs>
        <w:tab w:val="left" w:pos="6521"/>
      </w:tabs>
      <w:ind w:left="-1134"/>
      <w:jc w:val="center"/>
    </w:pPr>
    <w:rPr>
      <w:sz w:val="28"/>
    </w:rPr>
  </w:style>
  <w:style w:type="paragraph" w:customStyle="1" w:styleId="Loetelu">
    <w:name w:val="Loetelu"/>
    <w:basedOn w:val="Normal"/>
    <w:rsid w:val="003E3BF3"/>
    <w:pPr>
      <w:spacing w:before="120"/>
    </w:pPr>
  </w:style>
  <w:style w:type="paragraph" w:customStyle="1" w:styleId="Bodyt">
    <w:name w:val="Bodyt"/>
    <w:basedOn w:val="Normal"/>
    <w:rsid w:val="00E359AA"/>
    <w:pPr>
      <w:numPr>
        <w:ilvl w:val="1"/>
        <w:numId w:val="12"/>
      </w:numPr>
    </w:pPr>
    <w:rPr>
      <w:rFonts w:eastAsiaTheme="minorHAnsi"/>
      <w:szCs w:val="22"/>
    </w:rPr>
  </w:style>
  <w:style w:type="paragraph" w:customStyle="1" w:styleId="Pealkiri">
    <w:name w:val="Pealkiri"/>
    <w:basedOn w:val="BodyText"/>
    <w:next w:val="BodyText"/>
    <w:qFormat/>
    <w:rsid w:val="008C79F9"/>
    <w:pPr>
      <w:spacing w:before="960" w:after="600"/>
      <w:ind w:right="5103"/>
    </w:pPr>
  </w:style>
  <w:style w:type="paragraph" w:customStyle="1" w:styleId="Tallinn">
    <w:name w:val="Tallinn"/>
    <w:basedOn w:val="Normal"/>
    <w:next w:val="BodyText"/>
    <w:qFormat/>
    <w:rsid w:val="00E359AA"/>
    <w:pPr>
      <w:spacing w:before="80" w:after="120"/>
    </w:pPr>
  </w:style>
  <w:style w:type="paragraph" w:customStyle="1" w:styleId="Tekst">
    <w:name w:val="Tekst"/>
    <w:basedOn w:val="BodyText"/>
    <w:rsid w:val="00E7551A"/>
  </w:style>
  <w:style w:type="paragraph" w:customStyle="1" w:styleId="Allkirjastajanimi">
    <w:name w:val="Allkirjastaja nimi"/>
    <w:basedOn w:val="Normal"/>
    <w:next w:val="Normal"/>
    <w:qFormat/>
    <w:rsid w:val="00E359AA"/>
  </w:style>
  <w:style w:type="paragraph" w:customStyle="1" w:styleId="Lisatekst">
    <w:name w:val="Lisatekst"/>
    <w:basedOn w:val="BodyText"/>
    <w:rsid w:val="00065EA5"/>
    <w:pPr>
      <w:keepNext/>
      <w:keepLines/>
      <w:numPr>
        <w:numId w:val="5"/>
      </w:numPr>
      <w:tabs>
        <w:tab w:val="left" w:pos="6521"/>
      </w:tabs>
      <w:spacing w:before="120"/>
    </w:pPr>
  </w:style>
  <w:style w:type="paragraph" w:customStyle="1" w:styleId="Body">
    <w:name w:val="Body"/>
    <w:basedOn w:val="Normal"/>
    <w:rsid w:val="00E359AA"/>
    <w:pPr>
      <w:tabs>
        <w:tab w:val="left" w:pos="6521"/>
      </w:tabs>
      <w:jc w:val="both"/>
    </w:pPr>
  </w:style>
  <w:style w:type="paragraph" w:customStyle="1" w:styleId="Lisapealkiri">
    <w:name w:val="Lisapealkiri"/>
    <w:basedOn w:val="BodyText"/>
    <w:next w:val="BodyText"/>
    <w:qFormat/>
    <w:rsid w:val="006D07D8"/>
    <w:pPr>
      <w:tabs>
        <w:tab w:val="left" w:pos="6521"/>
      </w:tabs>
      <w:spacing w:before="280" w:after="280"/>
    </w:pPr>
    <w:rPr>
      <w:b/>
    </w:rPr>
  </w:style>
  <w:style w:type="paragraph" w:customStyle="1" w:styleId="LisaBodyt">
    <w:name w:val="LisaBodyt"/>
    <w:basedOn w:val="Bodyt"/>
    <w:qFormat/>
    <w:rsid w:val="00065EA5"/>
    <w:pPr>
      <w:numPr>
        <w:numId w:val="5"/>
      </w:numPr>
      <w:spacing w:before="80"/>
    </w:pPr>
  </w:style>
  <w:style w:type="paragraph" w:customStyle="1" w:styleId="LisaBodyt2">
    <w:name w:val="LisaBodyt2"/>
    <w:basedOn w:val="LisaBodyt"/>
    <w:qFormat/>
    <w:rsid w:val="00065EA5"/>
    <w:pPr>
      <w:numPr>
        <w:ilvl w:val="2"/>
      </w:numPr>
      <w:spacing w:before="0"/>
    </w:pPr>
  </w:style>
  <w:style w:type="paragraph" w:customStyle="1" w:styleId="BodyR">
    <w:name w:val="BodyR"/>
    <w:basedOn w:val="Body"/>
    <w:qFormat/>
    <w:rsid w:val="00890DF3"/>
    <w:pPr>
      <w:jc w:val="right"/>
    </w:pPr>
  </w:style>
  <w:style w:type="paragraph" w:customStyle="1" w:styleId="BodyTextLisa">
    <w:name w:val="Body Text Lisa"/>
    <w:basedOn w:val="BodyText"/>
    <w:qFormat/>
    <w:rsid w:val="00446029"/>
    <w:pPr>
      <w:spacing w:before="120"/>
    </w:pPr>
  </w:style>
  <w:style w:type="paragraph" w:customStyle="1" w:styleId="Allkirjastatuddigit">
    <w:name w:val="Allkirjastatud digit"/>
    <w:basedOn w:val="Normal"/>
    <w:qFormat/>
    <w:rsid w:val="00E359AA"/>
    <w:pPr>
      <w:spacing w:before="480" w:after="120"/>
    </w:pPr>
  </w:style>
  <w:style w:type="paragraph" w:customStyle="1" w:styleId="Bodyt1">
    <w:name w:val="Bodyt1"/>
    <w:basedOn w:val="Bodyt"/>
    <w:qFormat/>
    <w:rsid w:val="00E359AA"/>
    <w:pPr>
      <w:numPr>
        <w:ilvl w:val="2"/>
      </w:numPr>
    </w:pPr>
  </w:style>
  <w:style w:type="character" w:customStyle="1" w:styleId="BodyTextChar">
    <w:name w:val="Body Text Char"/>
    <w:basedOn w:val="DefaultParagraphFont"/>
    <w:link w:val="BodyText"/>
    <w:rsid w:val="00E359AA"/>
    <w:rPr>
      <w:rFonts w:ascii="Calibri" w:hAnsi="Calibri"/>
      <w:sz w:val="22"/>
      <w:lang w:eastAsia="en-US"/>
    </w:rPr>
  </w:style>
  <w:style w:type="paragraph" w:customStyle="1" w:styleId="Bodyl">
    <w:name w:val="Bodyl"/>
    <w:basedOn w:val="Normal"/>
    <w:rsid w:val="00E359AA"/>
    <w:pPr>
      <w:jc w:val="right"/>
    </w:pPr>
  </w:style>
  <w:style w:type="paragraph" w:customStyle="1" w:styleId="Bodylisam">
    <w:name w:val="Bodylisam"/>
    <w:basedOn w:val="Normal"/>
    <w:rsid w:val="00E359AA"/>
    <w:pPr>
      <w:spacing w:before="120"/>
    </w:pPr>
  </w:style>
  <w:style w:type="paragraph" w:customStyle="1" w:styleId="Bodym">
    <w:name w:val="Bodym"/>
    <w:basedOn w:val="Normal"/>
    <w:rsid w:val="00E359AA"/>
    <w:pPr>
      <w:numPr>
        <w:ilvl w:val="1"/>
        <w:numId w:val="9"/>
      </w:numPr>
      <w:spacing w:before="80"/>
    </w:pPr>
  </w:style>
  <w:style w:type="paragraph" w:customStyle="1" w:styleId="Bodym1">
    <w:name w:val="Bodym1"/>
    <w:basedOn w:val="Bodym"/>
    <w:rsid w:val="00E359AA"/>
    <w:pPr>
      <w:numPr>
        <w:ilvl w:val="2"/>
      </w:numPr>
      <w:spacing w:before="0"/>
    </w:pPr>
  </w:style>
  <w:style w:type="paragraph" w:customStyle="1" w:styleId="Pealk1">
    <w:name w:val="Pealk1"/>
    <w:basedOn w:val="BodyText"/>
    <w:next w:val="BodyText"/>
    <w:qFormat/>
    <w:rsid w:val="00E359AA"/>
    <w:pPr>
      <w:keepNext/>
      <w:tabs>
        <w:tab w:val="left" w:pos="6521"/>
      </w:tabs>
      <w:spacing w:before="400"/>
    </w:pPr>
    <w:rPr>
      <w:b/>
    </w:rPr>
  </w:style>
  <w:style w:type="character" w:customStyle="1" w:styleId="HeaderChar">
    <w:name w:val="Header Char"/>
    <w:basedOn w:val="DefaultParagraphFont"/>
    <w:link w:val="Header"/>
    <w:uiPriority w:val="99"/>
    <w:rsid w:val="0098699A"/>
    <w:rPr>
      <w:rFonts w:ascii="Calibri" w:hAnsi="Calibr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41FD6AF7FC424189B0BAF161424567" ma:contentTypeVersion="4" ma:contentTypeDescription="Create a new document." ma:contentTypeScope="" ma:versionID="890c181fe961f01c74ffed0c313c5593">
  <xsd:schema xmlns:xsd="http://www.w3.org/2001/XMLSchema" xmlns:xs="http://www.w3.org/2001/XMLSchema" xmlns:p="http://schemas.microsoft.com/office/2006/metadata/properties" xmlns:ns2="566746a8-eac2-41fe-b884-0b6d892bfce3" targetNamespace="http://schemas.microsoft.com/office/2006/metadata/properties" ma:root="true" ma:fieldsID="24793e4df6c72c157a7aebf8b2a17da1" ns2:_="">
    <xsd:import namespace="566746a8-eac2-41fe-b884-0b6d892bfc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746a8-eac2-41fe-b884-0b6d892bf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297D8F-1109-48F7-BFBF-50E3FF3C3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746a8-eac2-41fe-b884-0b6d892bf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F0AD09-76F2-4E8E-A75F-A49F2F681A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0B65EA-B0CA-411A-BEAE-DDADEC9E28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912</Words>
  <Characters>8038</Characters>
  <Application>Microsoft Office Word</Application>
  <DocSecurity>0</DocSecurity>
  <Lines>66</Lines>
  <Paragraphs>17</Paragraphs>
  <ScaleCrop>false</ScaleCrop>
  <HeadingPairs>
    <vt:vector size="2" baseType="variant">
      <vt:variant>
        <vt:lpstr>Title</vt:lpstr>
      </vt:variant>
      <vt:variant>
        <vt:i4>1</vt:i4>
      </vt:variant>
    </vt:vector>
  </HeadingPairs>
  <TitlesOfParts>
    <vt:vector size="1" baseType="lpstr">
      <vt:lpstr>Tallinna Tehnikaülikool</vt:lpstr>
    </vt:vector>
  </TitlesOfParts>
  <Company>TTY  Informaatikainstituut</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Tallinna Tehnikaülikool</dc:title>
  <dc:subject/>
  <dc:creator>Tiina Lesnikowicz</dc:creator>
  <cp:keywords/>
  <dc:description/>
  <cp:lastModifiedBy>Kairi Schütz</cp:lastModifiedBy>
  <cp:revision>4</cp:revision>
  <cp:lastPrinted>2002-08-26T08:36:00Z</cp:lastPrinted>
  <dcterms:created xsi:type="dcterms:W3CDTF">2025-12-22T08:17:00Z</dcterms:created>
  <dcterms:modified xsi:type="dcterms:W3CDTF">2025-12-22T08:20:00Z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{nr}</vt:lpwstr>
  </property>
  <property fmtid="{D5CDD505-2E9C-101B-9397-08002B2CF9AE}" pid="4" name="delta_docName">
    <vt:lpwstr>{Pealkiri}</vt:lpwstr>
  </property>
  <property fmtid="{D5CDD505-2E9C-101B-9397-08002B2CF9AE}" pid="5" name="delta_signerName">
    <vt:lpwstr>{Allkirjastaja nimi}</vt:lpwstr>
  </property>
  <property fmtid="{D5CDD505-2E9C-101B-9397-08002B2CF9AE}" pid="6" name="delta_signerJobTitle">
    <vt:lpwstr>{ametinimetus}</vt:lpwstr>
  </property>
  <property fmtid="{D5CDD505-2E9C-101B-9397-08002B2CF9AE}" pid="7" name="delta_accessRestrictionBeginDate">
    <vt:lpwstr>{JP kehtiv alates}</vt:lpwstr>
  </property>
  <property fmtid="{D5CDD505-2E9C-101B-9397-08002B2CF9AE}" pid="8" name="delta_accessRestrictionEndDate">
    <vt:lpwstr>{JP kehtiv kuni}</vt:lpwstr>
  </property>
  <property fmtid="{D5CDD505-2E9C-101B-9397-08002B2CF9AE}" pid="9" name="delta_accessRestrictionEndDesc">
    <vt:lpwstr>{kirjeldus}</vt:lpwstr>
  </property>
  <property fmtid="{D5CDD505-2E9C-101B-9397-08002B2CF9AE}" pid="10" name="delta_accessRestrictionReason">
    <vt:lpwstr>{JP alus}</vt:lpwstr>
  </property>
  <property fmtid="{D5CDD505-2E9C-101B-9397-08002B2CF9AE}" pid="11" name="ContentTypeId">
    <vt:lpwstr>0x0101008E41FD6AF7FC424189B0BAF161424567</vt:lpwstr>
  </property>
</Properties>
</file>