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FDC4F" w14:textId="1300BDCB" w:rsidR="00594466" w:rsidRPr="001C72DD" w:rsidRDefault="00594466">
      <w:pPr>
        <w:pStyle w:val="BodyText"/>
        <w:sectPr w:rsidR="00594466" w:rsidRPr="001C72DD" w:rsidSect="00A9217A">
          <w:headerReference w:type="even" r:id="rId7"/>
          <w:headerReference w:type="default" r:id="rId8"/>
          <w:type w:val="continuous"/>
          <w:pgSz w:w="11906" w:h="16838" w:code="9"/>
          <w:pgMar w:top="284" w:right="851" w:bottom="680" w:left="1701" w:header="454" w:footer="510" w:gutter="0"/>
          <w:cols w:space="708"/>
          <w:titlePg/>
        </w:sectPr>
      </w:pPr>
    </w:p>
    <w:p w14:paraId="4197F69D" w14:textId="77777777" w:rsidR="00A9217A" w:rsidRDefault="00A9217A" w:rsidP="00A9217A">
      <w:pPr>
        <w:pStyle w:val="Tallinn"/>
        <w:tabs>
          <w:tab w:val="left" w:pos="6237"/>
        </w:tabs>
        <w:jc w:val="right"/>
      </w:pPr>
      <w:r>
        <w:t xml:space="preserve">ALGTEKST-TERVIKTEKST </w:t>
      </w:r>
    </w:p>
    <w:p w14:paraId="019FDC51" w14:textId="503F5A60" w:rsidR="00E7551A" w:rsidRDefault="00A9217A" w:rsidP="00E7551A">
      <w:pPr>
        <w:pStyle w:val="Tallinn"/>
        <w:tabs>
          <w:tab w:val="left" w:pos="6237"/>
        </w:tabs>
      </w:pPr>
      <w:r>
        <w:t xml:space="preserve">Kinnitatud rektori 31.08.2021 käskkirjaga nr 31 </w:t>
      </w:r>
    </w:p>
    <w:p w14:paraId="297AFB01" w14:textId="57E75AB7" w:rsidR="00A9217A" w:rsidRDefault="00A9217A" w:rsidP="00A9217A">
      <w:pPr>
        <w:pStyle w:val="BodyText"/>
      </w:pPr>
      <w:r w:rsidRPr="00A9217A">
        <w:t xml:space="preserve">Redaktsiooni jõustumise kuupäev: </w:t>
      </w:r>
      <w:r>
        <w:t>31</w:t>
      </w:r>
      <w:r w:rsidRPr="00A9217A">
        <w:t>.0</w:t>
      </w:r>
      <w:r w:rsidR="00F60695">
        <w:t>8</w:t>
      </w:r>
      <w:bookmarkStart w:id="0" w:name="_GoBack"/>
      <w:bookmarkEnd w:id="0"/>
      <w:r w:rsidRPr="00A9217A">
        <w:t>.2021</w:t>
      </w:r>
    </w:p>
    <w:p w14:paraId="3CE7688E" w14:textId="77777777" w:rsidR="00A9217A" w:rsidRPr="00A9217A" w:rsidRDefault="00A9217A" w:rsidP="00A9217A">
      <w:pPr>
        <w:pStyle w:val="BodyText"/>
      </w:pPr>
    </w:p>
    <w:p w14:paraId="019FDC52" w14:textId="6EF23CC0" w:rsidR="00E7551A" w:rsidRDefault="007A475B" w:rsidP="00A9217A">
      <w:pPr>
        <w:pStyle w:val="Pealkiri"/>
        <w:spacing w:before="0" w:after="0"/>
        <w:ind w:right="3119"/>
        <w:rPr>
          <w:b/>
        </w:rPr>
      </w:pPr>
      <w:r w:rsidRPr="00A9217A">
        <w:rPr>
          <w:b/>
        </w:rPr>
        <w:t>Lihtsustatud atesteerimise kord üleminekuperioodil</w:t>
      </w:r>
    </w:p>
    <w:p w14:paraId="5E1176AD" w14:textId="77777777" w:rsidR="00A9217A" w:rsidRPr="00A9217A" w:rsidRDefault="00A9217A" w:rsidP="00A9217A">
      <w:pPr>
        <w:pStyle w:val="BodyText"/>
      </w:pPr>
    </w:p>
    <w:p w14:paraId="019FDC53" w14:textId="77777777" w:rsidR="0013216B" w:rsidRPr="001C72DD" w:rsidRDefault="007A475B" w:rsidP="00E7551A">
      <w:pPr>
        <w:pStyle w:val="Tekst"/>
      </w:pPr>
      <w:r>
        <w:t xml:space="preserve">Käskkiri antakse tuginedes Tallinna Tehnikaülikooli senati 18.05.2021 määruse nr 3 „Akadeemilise karjääri korraldus“ </w:t>
      </w:r>
      <w:r>
        <w:rPr>
          <w:rFonts w:cstheme="minorHAnsi"/>
        </w:rPr>
        <w:t>§</w:t>
      </w:r>
      <w:r>
        <w:t xml:space="preserve"> 28 lõikele 3</w:t>
      </w:r>
    </w:p>
    <w:p w14:paraId="019FDC54" w14:textId="77777777" w:rsidR="0013216B" w:rsidRPr="00231A77" w:rsidRDefault="0013216B" w:rsidP="00775D7B">
      <w:pPr>
        <w:pStyle w:val="ListParagraph"/>
        <w:numPr>
          <w:ilvl w:val="0"/>
          <w:numId w:val="13"/>
        </w:numPr>
        <w:spacing w:before="120" w:after="0" w:line="240" w:lineRule="auto"/>
        <w:contextualSpacing w:val="0"/>
        <w:rPr>
          <w:b/>
          <w:lang w:val="et-EE"/>
        </w:rPr>
      </w:pPr>
      <w:r w:rsidRPr="00231A77">
        <w:rPr>
          <w:b/>
          <w:lang w:val="et-EE"/>
        </w:rPr>
        <w:t>Üldsätted</w:t>
      </w:r>
    </w:p>
    <w:p w14:paraId="019FDC55" w14:textId="77777777" w:rsidR="0013216B" w:rsidRDefault="0013216B" w:rsidP="00B8376F">
      <w:pPr>
        <w:pStyle w:val="ListParagraph"/>
        <w:numPr>
          <w:ilvl w:val="1"/>
          <w:numId w:val="14"/>
        </w:numPr>
        <w:spacing w:before="60" w:after="0" w:line="240" w:lineRule="auto"/>
        <w:contextualSpacing w:val="0"/>
        <w:rPr>
          <w:lang w:val="et-EE"/>
        </w:rPr>
      </w:pPr>
      <w:r>
        <w:rPr>
          <w:lang w:val="et-EE"/>
        </w:rPr>
        <w:t xml:space="preserve">Lihtsustatud atesteerimise korraga üleminekuperioodil (edaspidi </w:t>
      </w:r>
      <w:r w:rsidRPr="00E10A25">
        <w:rPr>
          <w:i/>
          <w:lang w:val="et-EE"/>
        </w:rPr>
        <w:t>kord</w:t>
      </w:r>
      <w:r>
        <w:rPr>
          <w:lang w:val="et-EE"/>
        </w:rPr>
        <w:t xml:space="preserve">) reguleeritakse atesteerimise tulemusel tenuurivälise kaasprofessori või juhtivteaduri ametikohale asumise protsessi üleminekuperioodil kuni 30.06.2022. </w:t>
      </w:r>
    </w:p>
    <w:p w14:paraId="019FDC56" w14:textId="77777777" w:rsidR="0013216B" w:rsidRDefault="0013216B" w:rsidP="00B8376F">
      <w:pPr>
        <w:pStyle w:val="ListParagraph"/>
        <w:numPr>
          <w:ilvl w:val="1"/>
          <w:numId w:val="14"/>
        </w:numPr>
        <w:spacing w:before="60" w:after="0" w:line="240" w:lineRule="auto"/>
        <w:contextualSpacing w:val="0"/>
        <w:rPr>
          <w:lang w:val="et-EE"/>
        </w:rPr>
      </w:pPr>
      <w:r>
        <w:rPr>
          <w:lang w:val="et-EE"/>
        </w:rPr>
        <w:t xml:space="preserve">Lihtsustatud atesteerimise korraldamisel juhindub ülikool akadeemilise karjääri korralduse määruses (edaspidi </w:t>
      </w:r>
      <w:r w:rsidRPr="00E10A25">
        <w:rPr>
          <w:i/>
          <w:lang w:val="et-EE"/>
        </w:rPr>
        <w:t>määrus</w:t>
      </w:r>
      <w:r>
        <w:rPr>
          <w:lang w:val="et-EE"/>
        </w:rPr>
        <w:t xml:space="preserve">) toodud atesteerimist reguleerivatest sätetest käesolevas korras sätestatud erisustega. </w:t>
      </w:r>
    </w:p>
    <w:p w14:paraId="019FDC57" w14:textId="77777777" w:rsidR="0013216B" w:rsidRPr="002866F6" w:rsidRDefault="0013216B" w:rsidP="00B8376F">
      <w:pPr>
        <w:pStyle w:val="ListParagraph"/>
        <w:numPr>
          <w:ilvl w:val="1"/>
          <w:numId w:val="14"/>
        </w:numPr>
        <w:spacing w:before="60" w:after="0" w:line="240" w:lineRule="auto"/>
        <w:contextualSpacing w:val="0"/>
        <w:rPr>
          <w:lang w:val="et-EE"/>
        </w:rPr>
      </w:pPr>
      <w:r>
        <w:rPr>
          <w:lang w:val="et-EE"/>
        </w:rPr>
        <w:t xml:space="preserve">Lihtsustatud atesteerimise läbiviimist koordineerib personaliosakond. </w:t>
      </w:r>
    </w:p>
    <w:p w14:paraId="019FDC58" w14:textId="77777777" w:rsidR="0013216B" w:rsidRPr="00231A77" w:rsidRDefault="0013216B" w:rsidP="00775D7B">
      <w:pPr>
        <w:pStyle w:val="ListParagraph"/>
        <w:numPr>
          <w:ilvl w:val="0"/>
          <w:numId w:val="13"/>
        </w:numPr>
        <w:spacing w:before="120" w:after="0" w:line="240" w:lineRule="auto"/>
        <w:contextualSpacing w:val="0"/>
        <w:rPr>
          <w:b/>
          <w:lang w:val="et-EE"/>
        </w:rPr>
      </w:pPr>
      <w:r w:rsidRPr="00231A77">
        <w:rPr>
          <w:b/>
          <w:lang w:val="et-EE"/>
        </w:rPr>
        <w:t xml:space="preserve">Lihtsustatud </w:t>
      </w:r>
      <w:r>
        <w:rPr>
          <w:b/>
          <w:lang w:val="et-EE"/>
        </w:rPr>
        <w:t>korras atesteerimise taotlemine</w:t>
      </w:r>
    </w:p>
    <w:p w14:paraId="019FDC59" w14:textId="77777777" w:rsidR="0013216B" w:rsidRDefault="0013216B" w:rsidP="00B8376F">
      <w:pPr>
        <w:pStyle w:val="ListParagraph"/>
        <w:numPr>
          <w:ilvl w:val="1"/>
          <w:numId w:val="14"/>
        </w:numPr>
        <w:spacing w:before="60" w:after="0" w:line="240" w:lineRule="auto"/>
        <w:contextualSpacing w:val="0"/>
        <w:rPr>
          <w:lang w:val="et-EE"/>
        </w:rPr>
      </w:pPr>
      <w:r>
        <w:rPr>
          <w:lang w:val="et-EE"/>
        </w:rPr>
        <w:t>Kord laieneb k</w:t>
      </w:r>
      <w:r w:rsidRPr="00294DDD">
        <w:rPr>
          <w:lang w:val="et-EE"/>
        </w:rPr>
        <w:t>uni 31.12.2016 kehtinud karjäärikorralduse professori, dotsendi ja juhtivtead</w:t>
      </w:r>
      <w:r>
        <w:rPr>
          <w:lang w:val="et-EE"/>
        </w:rPr>
        <w:t>uri ametikohal töötanud töötajatele</w:t>
      </w:r>
      <w:r w:rsidRPr="00294DDD">
        <w:rPr>
          <w:lang w:val="et-EE"/>
        </w:rPr>
        <w:t>, kes on perioodil 2017 kuni 2020 eelmise karjäärikorralduse ametikohal korraliselt atesteeritud kuni 2021. aasta lõpuni või kes on alates 2017. aastast atesteerimise tulemusel</w:t>
      </w:r>
      <w:r>
        <w:rPr>
          <w:lang w:val="et-EE"/>
        </w:rPr>
        <w:t xml:space="preserve"> või</w:t>
      </w:r>
      <w:r w:rsidRPr="00294DDD">
        <w:rPr>
          <w:lang w:val="et-EE"/>
        </w:rPr>
        <w:t xml:space="preserve"> konkursi korras asunud kehtiva karjäärikorralduse </w:t>
      </w:r>
      <w:r>
        <w:rPr>
          <w:lang w:val="et-EE"/>
        </w:rPr>
        <w:t>tenuurivälistele ametikohtadele.</w:t>
      </w:r>
    </w:p>
    <w:p w14:paraId="019FDC5A" w14:textId="77777777" w:rsidR="0013216B" w:rsidRDefault="0013216B" w:rsidP="00B8376F">
      <w:pPr>
        <w:pStyle w:val="ListParagraph"/>
        <w:numPr>
          <w:ilvl w:val="1"/>
          <w:numId w:val="14"/>
        </w:numPr>
        <w:spacing w:before="60" w:after="0" w:line="240" w:lineRule="auto"/>
        <w:contextualSpacing w:val="0"/>
        <w:rPr>
          <w:lang w:val="et-EE"/>
        </w:rPr>
      </w:pPr>
      <w:r w:rsidRPr="00AC1BE5">
        <w:rPr>
          <w:lang w:val="et-EE"/>
        </w:rPr>
        <w:t xml:space="preserve">Kui töötaja täidab kuni 31.12.2016 kehtinud karjäärikorralduse professori, dotsendi või juhtivteaduri ametikohta ja ta on üleminekuperioodil atesteerimata, siis läbib ta korralise atesteerimise vastavalt määrusele ning võib positiivse atesteerimistulemuse korral ja atesteerimiskomisjoni soovitusel üle minna tenuurivälise kaasprofessori </w:t>
      </w:r>
      <w:r>
        <w:rPr>
          <w:lang w:val="et-EE"/>
        </w:rPr>
        <w:t xml:space="preserve">ametikohale pärast ametikoha moodustamist </w:t>
      </w:r>
      <w:r w:rsidRPr="00AC1BE5">
        <w:rPr>
          <w:lang w:val="et-EE"/>
        </w:rPr>
        <w:t>või juhtivteaduri ametikohale hiljemalt 30.06.2022</w:t>
      </w:r>
      <w:r>
        <w:rPr>
          <w:lang w:val="et-EE"/>
        </w:rPr>
        <w:t xml:space="preserve"> (personaalse ametikohale ülemineku aja pikenduse saanud töötaja viiakse tenuurivälise kaasprofessori ametikohale üle määratud atesteerimise läbimise ning senatis ametikoha moodustamise järgselt).</w:t>
      </w:r>
      <w:r w:rsidRPr="00AC1BE5">
        <w:rPr>
          <w:lang w:val="et-EE"/>
        </w:rPr>
        <w:t xml:space="preserve"> </w:t>
      </w:r>
    </w:p>
    <w:p w14:paraId="019FDC5B" w14:textId="77777777" w:rsidR="0013216B" w:rsidRDefault="0013216B" w:rsidP="00775D7B">
      <w:pPr>
        <w:pStyle w:val="ListParagraph"/>
        <w:numPr>
          <w:ilvl w:val="2"/>
          <w:numId w:val="17"/>
        </w:numPr>
        <w:spacing w:after="0"/>
        <w:contextualSpacing w:val="0"/>
        <w:rPr>
          <w:lang w:val="et-EE"/>
        </w:rPr>
      </w:pPr>
      <w:r>
        <w:rPr>
          <w:lang w:val="et-EE"/>
        </w:rPr>
        <w:t>Tenuurivälise kaasprofessori või juhtivteaduri ametikoha taotlemine toimub vastavalt korra punktidele 2.4.-2.7.</w:t>
      </w:r>
    </w:p>
    <w:p w14:paraId="019FDC5C" w14:textId="77777777" w:rsidR="0013216B" w:rsidRDefault="0013216B" w:rsidP="00775D7B">
      <w:pPr>
        <w:pStyle w:val="ListParagraph"/>
        <w:numPr>
          <w:ilvl w:val="2"/>
          <w:numId w:val="17"/>
        </w:numPr>
        <w:spacing w:after="0"/>
        <w:contextualSpacing w:val="0"/>
        <w:rPr>
          <w:lang w:val="et-EE"/>
        </w:rPr>
      </w:pPr>
      <w:r>
        <w:rPr>
          <w:lang w:val="et-EE"/>
        </w:rPr>
        <w:t xml:space="preserve">Dotsendi või juhtivteaduri ametikoha täitja taotluse menetlusse võtmisel viiakse atesteerimine läbi professorite atesteerimiskomisjonis taotlejale määratud personaalsel ajal. Kui taotlust menetlusse ei võeta, läbib dotsendi või juhtivteaduri ametikoha täitja korralise atesteerimise instituudi atesteerimiskomisjonis. </w:t>
      </w:r>
    </w:p>
    <w:p w14:paraId="019FDC5D" w14:textId="77777777" w:rsidR="0013216B" w:rsidRPr="00AC1BE5" w:rsidRDefault="0013216B" w:rsidP="00B8376F">
      <w:pPr>
        <w:pStyle w:val="ListParagraph"/>
        <w:numPr>
          <w:ilvl w:val="1"/>
          <w:numId w:val="14"/>
        </w:numPr>
        <w:spacing w:before="60" w:after="0" w:line="240" w:lineRule="auto"/>
        <w:contextualSpacing w:val="0"/>
        <w:rPr>
          <w:lang w:val="et-EE"/>
        </w:rPr>
      </w:pPr>
      <w:r w:rsidRPr="001D5442">
        <w:rPr>
          <w:lang w:val="et-EE"/>
        </w:rPr>
        <w:t>Punkti</w:t>
      </w:r>
      <w:r>
        <w:rPr>
          <w:lang w:val="et-EE"/>
        </w:rPr>
        <w:t>des</w:t>
      </w:r>
      <w:r w:rsidRPr="001D5442">
        <w:rPr>
          <w:lang w:val="et-EE"/>
        </w:rPr>
        <w:t xml:space="preserve"> 2.1</w:t>
      </w:r>
      <w:r>
        <w:rPr>
          <w:lang w:val="et-EE"/>
        </w:rPr>
        <w:t>.</w:t>
      </w:r>
      <w:r w:rsidRPr="001D5442">
        <w:rPr>
          <w:lang w:val="et-EE"/>
        </w:rPr>
        <w:t xml:space="preserve"> </w:t>
      </w:r>
      <w:r>
        <w:rPr>
          <w:lang w:val="et-EE"/>
        </w:rPr>
        <w:t xml:space="preserve">ja 2.2. </w:t>
      </w:r>
      <w:r w:rsidRPr="001D5442">
        <w:rPr>
          <w:lang w:val="et-EE"/>
        </w:rPr>
        <w:t>nimetatud</w:t>
      </w:r>
      <w:r>
        <w:rPr>
          <w:lang w:val="et-EE"/>
        </w:rPr>
        <w:t xml:space="preserve"> t</w:t>
      </w:r>
      <w:r w:rsidRPr="00AC1BE5">
        <w:rPr>
          <w:lang w:val="et-EE"/>
        </w:rPr>
        <w:t xml:space="preserve">öötajate sihtgrupi ja instituudi direktorite teavitamise korraldab personaliosakond. </w:t>
      </w:r>
    </w:p>
    <w:p w14:paraId="019FDC5E" w14:textId="77777777" w:rsidR="0013216B" w:rsidRPr="00894F74" w:rsidRDefault="0013216B" w:rsidP="00B8376F">
      <w:pPr>
        <w:pStyle w:val="ListParagraph"/>
        <w:numPr>
          <w:ilvl w:val="1"/>
          <w:numId w:val="14"/>
        </w:numPr>
        <w:spacing w:before="60" w:after="0" w:line="240" w:lineRule="auto"/>
        <w:contextualSpacing w:val="0"/>
        <w:rPr>
          <w:lang w:val="et-EE"/>
        </w:rPr>
      </w:pPr>
      <w:r>
        <w:rPr>
          <w:lang w:val="et-EE"/>
        </w:rPr>
        <w:t xml:space="preserve">Lihtsustatud korras atesteerimise ja tenuurivälise kaasprofessori või juhtivteaduri ametikoha taotluse esitab töötaja personaliosakonna poolt koostatud vormil </w:t>
      </w:r>
      <w:r w:rsidRPr="00F65379">
        <w:rPr>
          <w:lang w:val="et-EE"/>
        </w:rPr>
        <w:t>(</w:t>
      </w:r>
      <w:r>
        <w:rPr>
          <w:lang w:val="et-EE"/>
        </w:rPr>
        <w:t>korra lisa</w:t>
      </w:r>
      <w:r w:rsidRPr="00F65379">
        <w:rPr>
          <w:lang w:val="et-EE"/>
        </w:rPr>
        <w:t xml:space="preserve">). </w:t>
      </w:r>
      <w:r>
        <w:rPr>
          <w:lang w:val="et-EE"/>
        </w:rPr>
        <w:t xml:space="preserve">Kui instituudi direktor hindab töötaja sobivaks tema poolt taotletavale ametikohale, kinnitab ta taotluse ja palub dekaanil esitada senatile </w:t>
      </w:r>
      <w:r w:rsidRPr="00894F74">
        <w:rPr>
          <w:lang w:val="et-EE"/>
        </w:rPr>
        <w:t>ettepanek kaasprofessori ametikoha moodustamiseks.</w:t>
      </w:r>
      <w:r>
        <w:rPr>
          <w:lang w:val="et-EE"/>
        </w:rPr>
        <w:t xml:space="preserve"> Taotluse menetlemine senatis toimub positiivse atesteerimisotsuse järgselt. </w:t>
      </w:r>
    </w:p>
    <w:p w14:paraId="019FDC5F" w14:textId="77777777" w:rsidR="0013216B" w:rsidRDefault="0013216B" w:rsidP="00B8376F">
      <w:pPr>
        <w:pStyle w:val="ListParagraph"/>
        <w:numPr>
          <w:ilvl w:val="1"/>
          <w:numId w:val="14"/>
        </w:numPr>
        <w:spacing w:before="60" w:after="0" w:line="240" w:lineRule="auto"/>
        <w:contextualSpacing w:val="0"/>
        <w:rPr>
          <w:lang w:val="et-EE"/>
        </w:rPr>
      </w:pPr>
      <w:r>
        <w:rPr>
          <w:lang w:val="et-EE"/>
        </w:rPr>
        <w:t xml:space="preserve">Juhul, kui instituudi direktor töötaja taotlust ei kinnita, siis teavitab ta töötajat tema taotlusega mittenõustumise põhjustest lähtuvalt määruse lisa 3 tabelist 1 „Akadeemilise hindamise maatriks“ ja tabelist 2 „Akadeemilistele ametikohtadele vastavad tasemed akadeemilise tegevuse liikide lõikes“. </w:t>
      </w:r>
    </w:p>
    <w:p w14:paraId="019FDC60" w14:textId="77777777" w:rsidR="0013216B" w:rsidRDefault="0013216B" w:rsidP="00775D7B">
      <w:pPr>
        <w:pStyle w:val="ListParagraph"/>
        <w:numPr>
          <w:ilvl w:val="2"/>
          <w:numId w:val="16"/>
        </w:numPr>
        <w:spacing w:after="0" w:line="240" w:lineRule="auto"/>
        <w:contextualSpacing w:val="0"/>
        <w:rPr>
          <w:lang w:val="et-EE"/>
        </w:rPr>
      </w:pPr>
      <w:r>
        <w:rPr>
          <w:lang w:val="et-EE"/>
        </w:rPr>
        <w:t xml:space="preserve">Töötajal on õigus instituudi direktori </w:t>
      </w:r>
      <w:r w:rsidRPr="006D76D6">
        <w:rPr>
          <w:lang w:val="et-EE"/>
        </w:rPr>
        <w:t xml:space="preserve">otsus vaidlustada kahe nädala jooksul alates teavituse saamisest. Töötaja esitab vaide </w:t>
      </w:r>
      <w:r>
        <w:rPr>
          <w:lang w:val="et-EE"/>
        </w:rPr>
        <w:t>dekaanile</w:t>
      </w:r>
      <w:r w:rsidRPr="006D76D6">
        <w:rPr>
          <w:lang w:val="et-EE"/>
        </w:rPr>
        <w:t>, selgitades otsusega mittenõustumise põhjuseid ja esitades vajadusel lisadokumente.</w:t>
      </w:r>
      <w:r>
        <w:rPr>
          <w:lang w:val="et-EE"/>
        </w:rPr>
        <w:t xml:space="preserve"> Dekaan teeb töötaja vaide kohta otsuse kahe nädala jooksul otsuse saamisest. Juhul, kui dekaan nõustub töötaja vaides toodud põhjendustega, siis räägib dekaan instituudi direktoriga läbi töötaja taotluse kooskõlastamise. </w:t>
      </w:r>
    </w:p>
    <w:p w14:paraId="019FDC61" w14:textId="77777777" w:rsidR="0013216B" w:rsidRDefault="0013216B" w:rsidP="00B8376F">
      <w:pPr>
        <w:pStyle w:val="ListParagraph"/>
        <w:numPr>
          <w:ilvl w:val="1"/>
          <w:numId w:val="14"/>
        </w:numPr>
        <w:spacing w:before="60" w:after="0" w:line="240" w:lineRule="auto"/>
        <w:contextualSpacing w:val="0"/>
        <w:rPr>
          <w:lang w:val="et-EE"/>
        </w:rPr>
      </w:pPr>
      <w:r>
        <w:rPr>
          <w:lang w:val="et-EE"/>
        </w:rPr>
        <w:t xml:space="preserve">Töötaja saadab oma vormikohase taotluse, mis omab juhi kinnitust personaliosakonda aadressile </w:t>
      </w:r>
      <w:hyperlink r:id="rId9" w:history="1">
        <w:r w:rsidRPr="002D6774">
          <w:rPr>
            <w:rStyle w:val="Hyperlink"/>
            <w:lang w:val="et-EE"/>
          </w:rPr>
          <w:t>personal@taltech.ee</w:t>
        </w:r>
      </w:hyperlink>
      <w:r>
        <w:rPr>
          <w:lang w:val="et-EE"/>
        </w:rPr>
        <w:t xml:space="preserve">. Taotluse esitamise tähtaeg </w:t>
      </w:r>
      <w:r w:rsidRPr="00486B84">
        <w:rPr>
          <w:lang w:val="et-EE"/>
        </w:rPr>
        <w:t xml:space="preserve">on </w:t>
      </w:r>
      <w:r>
        <w:rPr>
          <w:lang w:val="et-EE"/>
        </w:rPr>
        <w:t xml:space="preserve">kuni </w:t>
      </w:r>
      <w:r w:rsidRPr="00486B84">
        <w:rPr>
          <w:lang w:val="et-EE"/>
        </w:rPr>
        <w:t>15.10.2021.</w:t>
      </w:r>
    </w:p>
    <w:p w14:paraId="019FDC62" w14:textId="77777777" w:rsidR="0013216B" w:rsidRDefault="0013216B" w:rsidP="00B8376F">
      <w:pPr>
        <w:pStyle w:val="ListParagraph"/>
        <w:numPr>
          <w:ilvl w:val="1"/>
          <w:numId w:val="14"/>
        </w:numPr>
        <w:spacing w:before="60" w:after="0" w:line="240" w:lineRule="auto"/>
        <w:contextualSpacing w:val="0"/>
        <w:rPr>
          <w:lang w:val="et-EE"/>
        </w:rPr>
      </w:pPr>
      <w:r>
        <w:rPr>
          <w:lang w:val="et-EE"/>
        </w:rPr>
        <w:t xml:space="preserve">Atesteerimiskomisjon vaatab esitatud taotlused läbi ja otsustab taotluste menetlusse võtmise. Komisjonil on enne taotluste menetlusse võtmise otsustamist õigus küsida taotlejatelt täiendavat infot. </w:t>
      </w:r>
      <w:r>
        <w:rPr>
          <w:lang w:val="et-EE"/>
        </w:rPr>
        <w:lastRenderedPageBreak/>
        <w:t xml:space="preserve">Juhul, kui komisjon töötaja taotlust menetlusse ei võta, siis teavitab komisjon töötajale taotluse menetlusse võtmisest keeldumise põhjuse. </w:t>
      </w:r>
    </w:p>
    <w:p w14:paraId="019FDC63" w14:textId="77777777" w:rsidR="0013216B" w:rsidRPr="002866F6" w:rsidRDefault="0013216B" w:rsidP="00B8376F">
      <w:pPr>
        <w:pStyle w:val="ListParagraph"/>
        <w:numPr>
          <w:ilvl w:val="1"/>
          <w:numId w:val="14"/>
        </w:numPr>
        <w:spacing w:before="60" w:after="0" w:line="240" w:lineRule="auto"/>
        <w:contextualSpacing w:val="0"/>
        <w:rPr>
          <w:lang w:val="et-EE"/>
        </w:rPr>
      </w:pPr>
      <w:r w:rsidRPr="001425F6">
        <w:rPr>
          <w:lang w:val="et-EE"/>
        </w:rPr>
        <w:t>Lihtsustatud korras ateste</w:t>
      </w:r>
      <w:r>
        <w:rPr>
          <w:lang w:val="et-EE"/>
        </w:rPr>
        <w:t>eritavate t</w:t>
      </w:r>
      <w:r w:rsidRPr="001425F6">
        <w:rPr>
          <w:lang w:val="et-EE"/>
        </w:rPr>
        <w:t>öötajate nimekirja kinnitab rektor</w:t>
      </w:r>
      <w:r>
        <w:rPr>
          <w:lang w:val="et-EE"/>
        </w:rPr>
        <w:t>.</w:t>
      </w:r>
    </w:p>
    <w:p w14:paraId="019FDC64" w14:textId="77777777" w:rsidR="0013216B" w:rsidRPr="00D9798E" w:rsidRDefault="0013216B" w:rsidP="00775D7B">
      <w:pPr>
        <w:pStyle w:val="ListParagraph"/>
        <w:numPr>
          <w:ilvl w:val="0"/>
          <w:numId w:val="13"/>
        </w:numPr>
        <w:spacing w:before="120" w:after="0" w:line="240" w:lineRule="auto"/>
        <w:contextualSpacing w:val="0"/>
        <w:rPr>
          <w:b/>
          <w:lang w:val="et-EE"/>
        </w:rPr>
      </w:pPr>
      <w:r>
        <w:rPr>
          <w:b/>
          <w:lang w:val="et-EE"/>
        </w:rPr>
        <w:t xml:space="preserve">Lihtsustatud korras atesteerimise läbiviimine </w:t>
      </w:r>
    </w:p>
    <w:p w14:paraId="019FDC65" w14:textId="77777777" w:rsidR="0013216B" w:rsidRPr="001425F6" w:rsidRDefault="0013216B" w:rsidP="00B8376F">
      <w:pPr>
        <w:pStyle w:val="ListParagraph"/>
        <w:numPr>
          <w:ilvl w:val="1"/>
          <w:numId w:val="14"/>
        </w:numPr>
        <w:spacing w:before="60" w:after="0" w:line="240" w:lineRule="auto"/>
        <w:contextualSpacing w:val="0"/>
        <w:rPr>
          <w:color w:val="FF0000"/>
          <w:lang w:val="et-EE"/>
        </w:rPr>
      </w:pPr>
      <w:r>
        <w:rPr>
          <w:lang w:val="et-EE"/>
        </w:rPr>
        <w:t>Lihtsustatud korras a</w:t>
      </w:r>
      <w:r w:rsidRPr="001425F6">
        <w:rPr>
          <w:lang w:val="et-EE"/>
        </w:rPr>
        <w:t xml:space="preserve">testeerimise eesmärk on </w:t>
      </w:r>
      <w:r>
        <w:rPr>
          <w:lang w:val="et-EE"/>
        </w:rPr>
        <w:t>määrata kindlaks t</w:t>
      </w:r>
      <w:r w:rsidRPr="001425F6">
        <w:rPr>
          <w:lang w:val="et-EE"/>
        </w:rPr>
        <w:t>öötaja sobivus tema poolt taotletavale tenuurivälise kaasprofessori või juhtivteaduri ametikohale, lähtudes määruse lisa 3 tabeli</w:t>
      </w:r>
      <w:r>
        <w:rPr>
          <w:lang w:val="et-EE"/>
        </w:rPr>
        <w:t>st</w:t>
      </w:r>
      <w:r w:rsidRPr="001425F6">
        <w:rPr>
          <w:lang w:val="et-EE"/>
        </w:rPr>
        <w:t xml:space="preserve"> 1 „Akadeemilise hindamise maatriks“ ja tabeli</w:t>
      </w:r>
      <w:r>
        <w:rPr>
          <w:lang w:val="et-EE"/>
        </w:rPr>
        <w:t>st</w:t>
      </w:r>
      <w:r w:rsidRPr="001425F6">
        <w:rPr>
          <w:lang w:val="et-EE"/>
        </w:rPr>
        <w:t xml:space="preserve"> 2 „Akadeemilistele ametikohtadele vastavad tasemed akadeemilise tegevuse liikide lõikes“</w:t>
      </w:r>
      <w:r>
        <w:rPr>
          <w:lang w:val="et-EE"/>
        </w:rPr>
        <w:t>.</w:t>
      </w:r>
    </w:p>
    <w:p w14:paraId="019FDC66" w14:textId="77777777" w:rsidR="0013216B" w:rsidRPr="00FB1AF4" w:rsidRDefault="0013216B" w:rsidP="00B8376F">
      <w:pPr>
        <w:pStyle w:val="ListParagraph"/>
        <w:numPr>
          <w:ilvl w:val="1"/>
          <w:numId w:val="14"/>
        </w:numPr>
        <w:spacing w:before="60" w:after="0" w:line="240" w:lineRule="auto"/>
        <w:contextualSpacing w:val="0"/>
        <w:rPr>
          <w:lang w:val="et-EE"/>
        </w:rPr>
      </w:pPr>
      <w:r w:rsidRPr="00FB1AF4">
        <w:rPr>
          <w:lang w:val="et-EE"/>
        </w:rPr>
        <w:t xml:space="preserve">Töötaja </w:t>
      </w:r>
      <w:r>
        <w:rPr>
          <w:lang w:val="et-EE"/>
        </w:rPr>
        <w:t xml:space="preserve">lihtsustatud korras </w:t>
      </w:r>
      <w:r w:rsidRPr="00FB1AF4">
        <w:rPr>
          <w:lang w:val="et-EE"/>
        </w:rPr>
        <w:t>atesteerimise viib läbi professorite atesteerimiskomisj</w:t>
      </w:r>
      <w:r>
        <w:rPr>
          <w:lang w:val="et-EE"/>
        </w:rPr>
        <w:t xml:space="preserve">on. Komisjonil on õigus kaasata komisjoni töösse väliseksperte. </w:t>
      </w:r>
    </w:p>
    <w:p w14:paraId="019FDC67" w14:textId="77777777" w:rsidR="0013216B" w:rsidRPr="00D86186" w:rsidRDefault="0013216B" w:rsidP="00B8376F">
      <w:pPr>
        <w:pStyle w:val="ListParagraph"/>
        <w:numPr>
          <w:ilvl w:val="1"/>
          <w:numId w:val="14"/>
        </w:numPr>
        <w:spacing w:before="60" w:after="0" w:line="240" w:lineRule="auto"/>
        <w:contextualSpacing w:val="0"/>
        <w:rPr>
          <w:color w:val="FF0000"/>
          <w:lang w:val="et-EE"/>
        </w:rPr>
      </w:pPr>
      <w:r w:rsidRPr="004A02CE">
        <w:rPr>
          <w:lang w:val="et-EE"/>
        </w:rPr>
        <w:t>Atesteerimiste läbiviimiseks laiendatakse teaduskondade professorite atesteerimiskomisjone täiendava valiku tenuuriprofessoritega, keda kaasatakse komisjoni töösse muutuvate liikmetena. Komisjoni muutuvate liikmete hulgast kutsutakse esindaja konkreetsele atesteerimiskoosolekule vastavalt vajadusele. Komisjoni muutuva</w:t>
      </w:r>
      <w:r>
        <w:rPr>
          <w:lang w:val="et-EE"/>
        </w:rPr>
        <w:t>te</w:t>
      </w:r>
      <w:r w:rsidRPr="004A02CE">
        <w:rPr>
          <w:lang w:val="et-EE"/>
        </w:rPr>
        <w:t>l liikme</w:t>
      </w:r>
      <w:r>
        <w:rPr>
          <w:lang w:val="et-EE"/>
        </w:rPr>
        <w:t>te</w:t>
      </w:r>
      <w:r w:rsidRPr="004A02CE">
        <w:rPr>
          <w:lang w:val="et-EE"/>
        </w:rPr>
        <w:t xml:space="preserve">l on võrreldes komisjoni püsiliikmetega samad õigused. Komisjoni muutuvate liikmete volitused kehtivad kuni 30.06.2022. </w:t>
      </w:r>
    </w:p>
    <w:p w14:paraId="019FDC68" w14:textId="77777777" w:rsidR="0013216B" w:rsidRDefault="0013216B" w:rsidP="00B8376F">
      <w:pPr>
        <w:pStyle w:val="ListParagraph"/>
        <w:numPr>
          <w:ilvl w:val="1"/>
          <w:numId w:val="14"/>
        </w:numPr>
        <w:spacing w:before="60" w:after="0" w:line="240" w:lineRule="auto"/>
        <w:contextualSpacing w:val="0"/>
        <w:rPr>
          <w:lang w:val="et-EE"/>
        </w:rPr>
      </w:pPr>
      <w:r>
        <w:rPr>
          <w:lang w:val="et-EE"/>
        </w:rPr>
        <w:t xml:space="preserve">Personaliosakond teavitab lihtsustatud korras atesteeritavate töötajate nimekirja kinnitamise järgselt töötajat ja instituudi direktorit atesteerimise ajakavast, komisjoni koosoleku ajast ja otsuse teatavaks tegemise korraldusest. </w:t>
      </w:r>
    </w:p>
    <w:p w14:paraId="019FDC69" w14:textId="77777777" w:rsidR="0013216B" w:rsidRPr="00C124B8" w:rsidRDefault="0013216B" w:rsidP="00B8376F">
      <w:pPr>
        <w:pStyle w:val="ListParagraph"/>
        <w:numPr>
          <w:ilvl w:val="1"/>
          <w:numId w:val="14"/>
        </w:numPr>
        <w:spacing w:before="60" w:after="0" w:line="240" w:lineRule="auto"/>
        <w:contextualSpacing w:val="0"/>
        <w:rPr>
          <w:lang w:val="et-EE"/>
        </w:rPr>
      </w:pPr>
      <w:r>
        <w:rPr>
          <w:lang w:val="et-EE"/>
        </w:rPr>
        <w:t xml:space="preserve">Atesteerimiskomisjon võtab töötaja töötulemuste ja taotletava ametikoha ametinõuete vastavuse hindamisel aluseks määruses sätestatud vastava ametikoha kirjelduse, ETIS-e CV, akadeemilise hindamise maatriksis toodud tööväljundid ja eeldatavad tulemuslikkuse näitajad ja töötaja poolt esitatud lihtsustatud korras atesteerimise ja tenuurivälise kaasprofessori või juhtivteaduri ametikoha taotluse. Taotlus sisaldab töötaja akadeemilise tegevuse portfooliot, sh motiveeritud enesehinnang taotletava ametikoha nõuetele vastavuse kohta akadeemilise hindamise maatriksi põhjal, järgneva viie aasta eesmärkide ja nende saavutamise tegevuskava ja töötaja soovil taotluse lisadena muud tema poolt vajalikuks peetavad materjalid. </w:t>
      </w:r>
    </w:p>
    <w:p w14:paraId="019FDC6A" w14:textId="77777777" w:rsidR="0013216B" w:rsidRDefault="0013216B" w:rsidP="00B8376F">
      <w:pPr>
        <w:pStyle w:val="ListParagraph"/>
        <w:numPr>
          <w:ilvl w:val="1"/>
          <w:numId w:val="14"/>
        </w:numPr>
        <w:spacing w:before="60" w:after="0" w:line="240" w:lineRule="auto"/>
        <w:contextualSpacing w:val="0"/>
        <w:rPr>
          <w:lang w:val="et-EE"/>
        </w:rPr>
      </w:pPr>
      <w:r w:rsidRPr="00085498">
        <w:rPr>
          <w:lang w:val="et-EE"/>
        </w:rPr>
        <w:t xml:space="preserve">Töötaja atesteerimine viiakse läbi </w:t>
      </w:r>
      <w:r>
        <w:rPr>
          <w:lang w:val="et-EE"/>
        </w:rPr>
        <w:t xml:space="preserve">elektroonse koosoleku vormis </w:t>
      </w:r>
      <w:r w:rsidRPr="00085498">
        <w:rPr>
          <w:lang w:val="et-EE"/>
        </w:rPr>
        <w:t>punktis 3.</w:t>
      </w:r>
      <w:r>
        <w:rPr>
          <w:lang w:val="et-EE"/>
        </w:rPr>
        <w:t>5</w:t>
      </w:r>
      <w:r w:rsidRPr="00085498">
        <w:rPr>
          <w:lang w:val="et-EE"/>
        </w:rPr>
        <w:t xml:space="preserve">. toodud kirjalike materjalide põhjal </w:t>
      </w:r>
      <w:r>
        <w:rPr>
          <w:lang w:val="et-EE"/>
        </w:rPr>
        <w:t>nii, et iga komisjoni liige annab oma individuaalse hinnangu töötaja sobivuse kohta tema poolt taotletavale ametikohale. Atesteerimis</w:t>
      </w:r>
      <w:r w:rsidRPr="00085498">
        <w:rPr>
          <w:lang w:val="et-EE"/>
        </w:rPr>
        <w:t>komisjoni konsensusliku otsuse korral töötaja poolt tä</w:t>
      </w:r>
      <w:r>
        <w:rPr>
          <w:lang w:val="et-EE"/>
        </w:rPr>
        <w:t>iendavat panust (lisainfo</w:t>
      </w:r>
      <w:r w:rsidRPr="00085498">
        <w:rPr>
          <w:lang w:val="et-EE"/>
        </w:rPr>
        <w:t xml:space="preserve"> esitamine, atesteerimiskomisjoni koosolekul osalemine) atesteerimisse ei eeldata. </w:t>
      </w:r>
    </w:p>
    <w:p w14:paraId="019FDC6B" w14:textId="77777777" w:rsidR="0013216B" w:rsidRPr="00C124B8" w:rsidRDefault="0013216B" w:rsidP="00B8376F">
      <w:pPr>
        <w:pStyle w:val="ListParagraph"/>
        <w:numPr>
          <w:ilvl w:val="1"/>
          <w:numId w:val="14"/>
        </w:numPr>
        <w:spacing w:before="60" w:after="0" w:line="240" w:lineRule="auto"/>
        <w:contextualSpacing w:val="0"/>
        <w:rPr>
          <w:lang w:val="et-EE"/>
        </w:rPr>
      </w:pPr>
      <w:r w:rsidRPr="00C124B8">
        <w:rPr>
          <w:lang w:val="et-EE"/>
        </w:rPr>
        <w:t xml:space="preserve">Kui atesteerimiskomisjoni otsus töötaja kohta ei ole kirjalikele materjalidele tuginedes konsensuslik, siis koguneb atesteerimiskomisjon otsuse langetamiseks töötaja osalusel. Töötaja esitab vajadusel atesteerimiskomisjonile lisainfot ning vastab atesteerimiskoosolekul komisjoni küsimustele. </w:t>
      </w:r>
    </w:p>
    <w:p w14:paraId="019FDC6C" w14:textId="77777777" w:rsidR="0013216B" w:rsidRDefault="0013216B" w:rsidP="00B8376F">
      <w:pPr>
        <w:pStyle w:val="ListParagraph"/>
        <w:numPr>
          <w:ilvl w:val="1"/>
          <w:numId w:val="14"/>
        </w:numPr>
        <w:spacing w:before="60" w:after="0" w:line="240" w:lineRule="auto"/>
        <w:contextualSpacing w:val="0"/>
        <w:rPr>
          <w:lang w:val="et-EE"/>
        </w:rPr>
      </w:pPr>
      <w:r>
        <w:rPr>
          <w:lang w:val="et-EE"/>
        </w:rPr>
        <w:t xml:space="preserve">Atesteerimiskomisjon annab hinnangu töötaja töötulemustele ja tema poolt taotletava ametikoha ametinõuetele vastavuse kohta ning teeb ühe järgmistest otsustest: </w:t>
      </w:r>
    </w:p>
    <w:p w14:paraId="019FDC6D" w14:textId="77777777" w:rsidR="0013216B" w:rsidRPr="005452ED" w:rsidRDefault="0013216B" w:rsidP="00775D7B">
      <w:pPr>
        <w:pStyle w:val="ListParagraph"/>
        <w:numPr>
          <w:ilvl w:val="2"/>
          <w:numId w:val="13"/>
        </w:numPr>
        <w:spacing w:after="0"/>
        <w:contextualSpacing w:val="0"/>
        <w:rPr>
          <w:lang w:val="et-EE"/>
        </w:rPr>
      </w:pPr>
      <w:r w:rsidRPr="005452ED">
        <w:rPr>
          <w:lang w:val="et-EE"/>
        </w:rPr>
        <w:t>töötaja ja tema töötulemused vastavad tenuurivälise kaasprofessori või juhtivteaduri ametikohale esitatavatele nõuetele, atesteerimiskomisjon soovitab töötaja ametikohale üle viia;</w:t>
      </w:r>
    </w:p>
    <w:p w14:paraId="019FDC6E" w14:textId="77777777" w:rsidR="0013216B" w:rsidRPr="005452ED" w:rsidRDefault="0013216B" w:rsidP="00775D7B">
      <w:pPr>
        <w:pStyle w:val="ListParagraph"/>
        <w:numPr>
          <w:ilvl w:val="2"/>
          <w:numId w:val="13"/>
        </w:numPr>
        <w:spacing w:after="0"/>
        <w:contextualSpacing w:val="0"/>
        <w:rPr>
          <w:lang w:val="et-EE"/>
        </w:rPr>
      </w:pPr>
      <w:r w:rsidRPr="005452ED">
        <w:rPr>
          <w:lang w:val="et-EE"/>
        </w:rPr>
        <w:t>töötaja ja tema töötulemused ei vasta tenuurivälise kaasprofessori või juhtivteaduri ametikohale esitatavatele nõuetele, atesteerimiskomisjon ei soovita</w:t>
      </w:r>
      <w:r w:rsidRPr="00775505">
        <w:rPr>
          <w:lang w:val="et-EE"/>
        </w:rPr>
        <w:t xml:space="preserve"> töötajat ametikohale üle viia; </w:t>
      </w:r>
    </w:p>
    <w:p w14:paraId="019FDC6F" w14:textId="77777777" w:rsidR="0013216B" w:rsidRPr="005452ED" w:rsidRDefault="0013216B" w:rsidP="00775D7B">
      <w:pPr>
        <w:pStyle w:val="ListParagraph"/>
        <w:numPr>
          <w:ilvl w:val="2"/>
          <w:numId w:val="13"/>
        </w:numPr>
        <w:spacing w:after="0"/>
        <w:contextualSpacing w:val="0"/>
        <w:rPr>
          <w:lang w:val="et-EE"/>
        </w:rPr>
      </w:pPr>
      <w:r w:rsidRPr="00775505">
        <w:rPr>
          <w:lang w:val="et-EE"/>
        </w:rPr>
        <w:t xml:space="preserve">töötaja ja tema töötulemused vastavad tenuurivälise kaasprofessori </w:t>
      </w:r>
      <w:r w:rsidRPr="009D6356">
        <w:rPr>
          <w:lang w:val="et-EE"/>
        </w:rPr>
        <w:t>ametikohale esitatavatele nõuetele</w:t>
      </w:r>
      <w:r w:rsidRPr="005D735C">
        <w:rPr>
          <w:lang w:val="et-EE"/>
        </w:rPr>
        <w:t xml:space="preserve"> mööndustega</w:t>
      </w:r>
      <w:r w:rsidRPr="00AE0B25">
        <w:rPr>
          <w:lang w:val="et-EE"/>
        </w:rPr>
        <w:t>, atesteerimiskomisjon määrab töötajale personaals</w:t>
      </w:r>
      <w:r w:rsidRPr="00921F76">
        <w:rPr>
          <w:lang w:val="et-EE"/>
        </w:rPr>
        <w:t>e ametikohale ülemineku aja pikendus</w:t>
      </w:r>
      <w:r w:rsidRPr="005452ED">
        <w:rPr>
          <w:lang w:val="et-EE"/>
        </w:rPr>
        <w:t xml:space="preserve">e kuni 3 aastaks koos uue atesteerimisaja määramisega ametikoha lävendi nõuete täitmiseks. Kuni uue atesteerimiseni töötab isik kvalifikatsioonile vastaval karjäärikorralduses kirjeldatud ametikohal. Ametikoha lepib töötajaga kokku instituudi direktor. </w:t>
      </w:r>
    </w:p>
    <w:p w14:paraId="019FDC70" w14:textId="77777777" w:rsidR="0013216B" w:rsidRDefault="0013216B" w:rsidP="00B8376F">
      <w:pPr>
        <w:pStyle w:val="ListParagraph"/>
        <w:numPr>
          <w:ilvl w:val="1"/>
          <w:numId w:val="14"/>
        </w:numPr>
        <w:spacing w:before="60" w:after="0" w:line="240" w:lineRule="auto"/>
        <w:contextualSpacing w:val="0"/>
        <w:rPr>
          <w:lang w:val="et-EE"/>
        </w:rPr>
      </w:pPr>
      <w:r>
        <w:rPr>
          <w:lang w:val="et-EE"/>
        </w:rPr>
        <w:t xml:space="preserve">Kui atesteerimiskomisjon ei soovita viia töötajat üle tenuurivälise kaasprofessori või juhtivteaduri ametikohale, siis annab komisjon soovituse töötaja üle viimiseks või jätkamiseks karjäärikorralduses kirjeldatud ametikohal, mis vastab tema kvalifikatsioonile ning määrab töötaja uue atesteerimisaja. </w:t>
      </w:r>
    </w:p>
    <w:p w14:paraId="019FDC71" w14:textId="77777777" w:rsidR="0013216B" w:rsidRDefault="0013216B" w:rsidP="00B8376F">
      <w:pPr>
        <w:pStyle w:val="ListParagraph"/>
        <w:numPr>
          <w:ilvl w:val="1"/>
          <w:numId w:val="14"/>
        </w:numPr>
        <w:spacing w:before="60" w:after="0" w:line="240" w:lineRule="auto"/>
        <w:contextualSpacing w:val="0"/>
        <w:rPr>
          <w:lang w:val="et-EE"/>
        </w:rPr>
      </w:pPr>
      <w:r>
        <w:rPr>
          <w:lang w:val="et-EE"/>
        </w:rPr>
        <w:t xml:space="preserve">Atesteerimiskomisjon võib anda töötajale soovitusi töötulemuste parandamiseks ja professionaalse arengu toetamiseks. </w:t>
      </w:r>
    </w:p>
    <w:p w14:paraId="019FDC72" w14:textId="77777777" w:rsidR="0013216B" w:rsidRDefault="0013216B" w:rsidP="00B8376F">
      <w:pPr>
        <w:pStyle w:val="ListParagraph"/>
        <w:numPr>
          <w:ilvl w:val="1"/>
          <w:numId w:val="14"/>
        </w:numPr>
        <w:spacing w:before="60" w:after="0" w:line="240" w:lineRule="auto"/>
        <w:contextualSpacing w:val="0"/>
        <w:rPr>
          <w:lang w:val="et-EE"/>
        </w:rPr>
      </w:pPr>
      <w:r>
        <w:rPr>
          <w:lang w:val="et-EE"/>
        </w:rPr>
        <w:t xml:space="preserve">Atesteerimiskomisjoni hinnang, otsus ja soovitused vormistatakse kirjaliku protokollina kahe nädala jooksul koosoleku toimumisest ja allkirjastatakse komisjoni esimehe poolt. Töötajale tutvustab atesteerimiskomisjoni otsust ja soovitusi instituudi direktor esimesel võimalusel esmase tagasisidena </w:t>
      </w:r>
      <w:r>
        <w:rPr>
          <w:lang w:val="et-EE"/>
        </w:rPr>
        <w:lastRenderedPageBreak/>
        <w:t xml:space="preserve">komisjoni toimumise järgselt ning ametliku kinnitusena komisjoni otsuse protokolli allkirjastamise järgselt. </w:t>
      </w:r>
    </w:p>
    <w:p w14:paraId="019FDC73" w14:textId="77777777" w:rsidR="0013216B" w:rsidRDefault="0013216B" w:rsidP="00B8376F">
      <w:pPr>
        <w:pStyle w:val="ListParagraph"/>
        <w:numPr>
          <w:ilvl w:val="1"/>
          <w:numId w:val="14"/>
        </w:numPr>
        <w:spacing w:before="60" w:after="0" w:line="240" w:lineRule="auto"/>
        <w:contextualSpacing w:val="0"/>
        <w:rPr>
          <w:lang w:val="et-EE"/>
        </w:rPr>
      </w:pPr>
      <w:r>
        <w:rPr>
          <w:lang w:val="et-EE"/>
        </w:rPr>
        <w:t xml:space="preserve">Personaliosakond väljastab töötajale atesteerimiskomisjoni otsuse ja soovitused kirjaliku väljavõttena protokollist esimesel võimalusel. Atesteerimisdokumente säilitab personaliosakond. </w:t>
      </w:r>
    </w:p>
    <w:p w14:paraId="019FDC74" w14:textId="77777777" w:rsidR="0013216B" w:rsidRDefault="0013216B" w:rsidP="00B8376F">
      <w:pPr>
        <w:pStyle w:val="ListParagraph"/>
        <w:numPr>
          <w:ilvl w:val="1"/>
          <w:numId w:val="14"/>
        </w:numPr>
        <w:spacing w:before="60" w:after="0" w:line="240" w:lineRule="auto"/>
        <w:contextualSpacing w:val="0"/>
        <w:rPr>
          <w:lang w:val="et-EE"/>
        </w:rPr>
      </w:pPr>
      <w:r w:rsidRPr="006F24B3">
        <w:rPr>
          <w:lang w:val="et-EE"/>
        </w:rPr>
        <w:t>Positiivse atesteerimistulemuse korral viiakse töötaja üle tenuurivälise kaasprofessori või juhtivteaduri a</w:t>
      </w:r>
      <w:r>
        <w:rPr>
          <w:lang w:val="et-EE"/>
        </w:rPr>
        <w:t xml:space="preserve">metikohale hiljemalt 30.06.2022 (personaalse ametikohale ülemineku aja pikenduse saanud töötaja viiakse tenuurivälise kaasprofessori ametikohale üle määratud atesteerimise läbimise ning senatis ametikoha moodustamise järgselt). </w:t>
      </w:r>
    </w:p>
    <w:p w14:paraId="019FDC75" w14:textId="77777777" w:rsidR="0013216B" w:rsidRPr="002866F6" w:rsidRDefault="0013216B" w:rsidP="00B8376F">
      <w:pPr>
        <w:pStyle w:val="ListParagraph"/>
        <w:numPr>
          <w:ilvl w:val="1"/>
          <w:numId w:val="14"/>
        </w:numPr>
        <w:spacing w:before="60" w:after="0" w:line="240" w:lineRule="auto"/>
        <w:contextualSpacing w:val="0"/>
        <w:rPr>
          <w:lang w:val="et-EE"/>
        </w:rPr>
      </w:pPr>
      <w:r w:rsidRPr="00023DED">
        <w:rPr>
          <w:lang w:val="et-EE"/>
        </w:rPr>
        <w:t xml:space="preserve">Negatiivse atesteerimistulemuse korral viiakse töötaja üle tema kvalifikatsioonile vastavale karjäärikorralduses kirjeldatud ametikohale. Ametikoha lepib töötajaga atesteerimiskomisjoni soovitusel kokku instituudi direktor. </w:t>
      </w:r>
    </w:p>
    <w:p w14:paraId="019FDC76" w14:textId="77777777" w:rsidR="0013216B" w:rsidRPr="008F53C9" w:rsidRDefault="0013216B" w:rsidP="00775D7B">
      <w:pPr>
        <w:pStyle w:val="ListParagraph"/>
        <w:numPr>
          <w:ilvl w:val="0"/>
          <w:numId w:val="13"/>
        </w:numPr>
        <w:spacing w:before="120" w:after="0" w:line="240" w:lineRule="auto"/>
        <w:contextualSpacing w:val="0"/>
        <w:rPr>
          <w:b/>
          <w:lang w:val="et-EE"/>
        </w:rPr>
      </w:pPr>
      <w:r w:rsidRPr="008F53C9">
        <w:rPr>
          <w:b/>
          <w:lang w:val="et-EE"/>
        </w:rPr>
        <w:t>Atesteerimise tulemuste vaidlustamine</w:t>
      </w:r>
    </w:p>
    <w:p w14:paraId="019FDC77" w14:textId="77777777" w:rsidR="0013216B" w:rsidRDefault="0013216B" w:rsidP="00B8376F">
      <w:pPr>
        <w:pStyle w:val="ListParagraph"/>
        <w:numPr>
          <w:ilvl w:val="1"/>
          <w:numId w:val="14"/>
        </w:numPr>
        <w:spacing w:before="60" w:after="0" w:line="240" w:lineRule="auto"/>
        <w:contextualSpacing w:val="0"/>
        <w:rPr>
          <w:lang w:val="et-EE"/>
        </w:rPr>
      </w:pPr>
      <w:r>
        <w:rPr>
          <w:lang w:val="et-EE"/>
        </w:rPr>
        <w:t xml:space="preserve">Töötajal on õigus atesteerimiskomisjoni otsus vaidlustada kahe nädala jooksul alates otsuse kirjaliku teavituse kättesaamisest. Töötaja esitab vaide rektorile, selgitades otsusega mittenõustumise põhjuseid ja esitades vajadusel lisadokumente. </w:t>
      </w:r>
    </w:p>
    <w:p w14:paraId="019FDC78" w14:textId="77777777" w:rsidR="0013216B" w:rsidRDefault="0013216B" w:rsidP="00B8376F">
      <w:pPr>
        <w:pStyle w:val="ListParagraph"/>
        <w:numPr>
          <w:ilvl w:val="1"/>
          <w:numId w:val="14"/>
        </w:numPr>
        <w:spacing w:before="60" w:after="0" w:line="240" w:lineRule="auto"/>
        <w:contextualSpacing w:val="0"/>
        <w:rPr>
          <w:lang w:val="et-EE"/>
        </w:rPr>
      </w:pPr>
      <w:r>
        <w:rPr>
          <w:lang w:val="et-EE"/>
        </w:rPr>
        <w:t xml:space="preserve">Rektor teeb töötaja vaide kohta otsuse </w:t>
      </w:r>
      <w:r w:rsidRPr="004A02CE">
        <w:rPr>
          <w:lang w:val="et-EE"/>
        </w:rPr>
        <w:t xml:space="preserve">ühe kuu jooksul </w:t>
      </w:r>
      <w:r>
        <w:rPr>
          <w:lang w:val="et-EE"/>
        </w:rPr>
        <w:t>vaide saamisest.</w:t>
      </w:r>
    </w:p>
    <w:p w14:paraId="019FDC79" w14:textId="77777777" w:rsidR="0013216B" w:rsidRDefault="0013216B" w:rsidP="00B8376F">
      <w:pPr>
        <w:pStyle w:val="ListParagraph"/>
        <w:numPr>
          <w:ilvl w:val="1"/>
          <w:numId w:val="14"/>
        </w:numPr>
        <w:spacing w:before="60" w:after="0" w:line="240" w:lineRule="auto"/>
        <w:contextualSpacing w:val="0"/>
        <w:rPr>
          <w:lang w:val="et-EE"/>
        </w:rPr>
      </w:pPr>
      <w:r>
        <w:rPr>
          <w:lang w:val="et-EE"/>
        </w:rPr>
        <w:t xml:space="preserve">Kui vaide läbivaatamisel ilmneb, et töötaja poolt esitatud põhjendused, lisainfo või käesoleva korra rikkumine ei oma mõju atesteerimisotsusele, jääb atesteerimisotsus kehtima. </w:t>
      </w:r>
    </w:p>
    <w:p w14:paraId="019FDC7A" w14:textId="77777777" w:rsidR="0013216B" w:rsidRPr="0013216B" w:rsidRDefault="0013216B" w:rsidP="00B8376F">
      <w:pPr>
        <w:pStyle w:val="ListParagraph"/>
        <w:numPr>
          <w:ilvl w:val="1"/>
          <w:numId w:val="14"/>
        </w:numPr>
        <w:spacing w:before="60" w:after="0" w:line="240" w:lineRule="auto"/>
        <w:contextualSpacing w:val="0"/>
        <w:rPr>
          <w:lang w:val="et-EE"/>
        </w:rPr>
      </w:pPr>
      <w:r>
        <w:rPr>
          <w:lang w:val="et-EE"/>
        </w:rPr>
        <w:t xml:space="preserve">Kui vaide läbivaatamisel ilmneb, et töötaja poolt esitatud põhjendused, lisainfo või käesoleva korra rikkumine omab mõju atesteerimisotsusele, määrab atesteerimiskomisjoni esimees korduvatesteerimise aja. </w:t>
      </w:r>
    </w:p>
    <w:p w14:paraId="019FDC81" w14:textId="77777777" w:rsidR="006D07D8" w:rsidRPr="001C72DD" w:rsidRDefault="006D07D8" w:rsidP="00F67FE3">
      <w:pPr>
        <w:sectPr w:rsidR="006D07D8" w:rsidRPr="001C72DD" w:rsidSect="0098699A">
          <w:type w:val="continuous"/>
          <w:pgSz w:w="11906" w:h="16838" w:code="9"/>
          <w:pgMar w:top="680" w:right="851" w:bottom="680" w:left="1701" w:header="397" w:footer="510" w:gutter="0"/>
          <w:cols w:space="708"/>
          <w:titlePg/>
          <w:docGrid w:linePitch="299"/>
        </w:sectPr>
      </w:pPr>
    </w:p>
    <w:p w14:paraId="019FDC82" w14:textId="77777777" w:rsidR="00292D3B" w:rsidRPr="001C72DD" w:rsidRDefault="00292D3B" w:rsidP="00890DF3">
      <w:pPr>
        <w:pStyle w:val="BodyR"/>
      </w:pPr>
      <w:r w:rsidRPr="001C72DD">
        <w:lastRenderedPageBreak/>
        <w:t>KINNITATUD</w:t>
      </w:r>
    </w:p>
    <w:p w14:paraId="019FDC83" w14:textId="39E9976B" w:rsidR="00292D3B" w:rsidRPr="001C72DD" w:rsidRDefault="00292D3B" w:rsidP="00890DF3">
      <w:pPr>
        <w:pStyle w:val="BodyR"/>
      </w:pPr>
      <w:r w:rsidRPr="001C72DD">
        <w:t xml:space="preserve">rektori </w:t>
      </w:r>
      <w:r w:rsidR="00B516F0">
        <w:fldChar w:fldCharType="begin"/>
      </w:r>
      <w:r w:rsidR="001959E3">
        <w:instrText xml:space="preserve"> delta_regDateTime</w:instrText>
      </w:r>
      <w:r w:rsidR="00B516F0">
        <w:fldChar w:fldCharType="separate"/>
      </w:r>
      <w:r w:rsidR="001959E3">
        <w:t>31.08.2021</w:t>
      </w:r>
      <w:r w:rsidR="00B516F0">
        <w:fldChar w:fldCharType="end"/>
      </w:r>
    </w:p>
    <w:p w14:paraId="13649B78" w14:textId="54EF36F6" w:rsidR="00852116" w:rsidRPr="002A621F" w:rsidRDefault="00292D3B" w:rsidP="002A621F">
      <w:pPr>
        <w:pStyle w:val="BodyR"/>
        <w:spacing w:after="240"/>
      </w:pPr>
      <w:r w:rsidRPr="001C72DD">
        <w:t xml:space="preserve">käskkirjaga nr </w:t>
      </w:r>
      <w:r w:rsidR="00B516F0">
        <w:fldChar w:fldCharType="begin"/>
      </w:r>
      <w:r w:rsidR="001959E3">
        <w:instrText xml:space="preserve"> delta_regNumber</w:instrText>
      </w:r>
      <w:r w:rsidR="00B516F0">
        <w:fldChar w:fldCharType="separate"/>
      </w:r>
      <w:r w:rsidR="001959E3">
        <w:t>1-8/31</w:t>
      </w:r>
      <w:r w:rsidR="00B516F0">
        <w:fldChar w:fldCharType="end"/>
      </w:r>
    </w:p>
    <w:p w14:paraId="497C5275" w14:textId="77777777" w:rsidR="002A621F" w:rsidRDefault="002A621F" w:rsidP="0013216B">
      <w:pPr>
        <w:pStyle w:val="ListParagraph"/>
        <w:ind w:left="0"/>
        <w:rPr>
          <w:b/>
          <w:lang w:val="et-EE"/>
        </w:rPr>
      </w:pPr>
    </w:p>
    <w:p w14:paraId="6E1DC3F4" w14:textId="77777777" w:rsidR="002A621F" w:rsidRDefault="002A621F" w:rsidP="0013216B">
      <w:pPr>
        <w:pStyle w:val="ListParagraph"/>
        <w:ind w:left="0"/>
        <w:rPr>
          <w:b/>
          <w:lang w:val="et-EE"/>
        </w:rPr>
      </w:pPr>
    </w:p>
    <w:p w14:paraId="019FDC86" w14:textId="44AE4F1C" w:rsidR="0013216B" w:rsidRPr="00816889" w:rsidRDefault="0013216B" w:rsidP="0013216B">
      <w:pPr>
        <w:pStyle w:val="ListParagraph"/>
        <w:ind w:left="0"/>
        <w:rPr>
          <w:b/>
          <w:color w:val="FF0000"/>
          <w:lang w:val="et-EE"/>
        </w:rPr>
      </w:pPr>
      <w:r w:rsidRPr="00816889">
        <w:rPr>
          <w:b/>
          <w:lang w:val="et-EE"/>
        </w:rPr>
        <w:t xml:space="preserve">Lihtsustatud korras atesteerimise ja </w:t>
      </w:r>
      <w:sdt>
        <w:sdtPr>
          <w:rPr>
            <w:b/>
            <w:highlight w:val="lightGray"/>
            <w:lang w:val="et-EE"/>
          </w:rPr>
          <w:id w:val="302504273"/>
          <w:placeholder>
            <w:docPart w:val="E3946349BE7E49F0995E4A3E2A489FF5"/>
          </w:placeholder>
          <w:comboBox>
            <w:listItem w:displayText="vali ametikoht." w:value="vali ametikoht."/>
            <w:listItem w:displayText="tenuurivälise kaasprofessori" w:value="tenuurivälise kaasprofessori"/>
            <w:listItem w:displayText="juhtivteaduri" w:value="juhtivteaduri"/>
          </w:comboBox>
        </w:sdtPr>
        <w:sdtEndPr/>
        <w:sdtContent>
          <w:r w:rsidRPr="00816889">
            <w:rPr>
              <w:b/>
              <w:highlight w:val="lightGray"/>
              <w:lang w:val="et-EE"/>
            </w:rPr>
            <w:t>vali ametikoht.</w:t>
          </w:r>
        </w:sdtContent>
      </w:sdt>
      <w:r w:rsidRPr="00816889">
        <w:rPr>
          <w:b/>
          <w:lang w:val="et-EE"/>
        </w:rPr>
        <w:t xml:space="preserve"> ametikoha taotlus</w:t>
      </w:r>
    </w:p>
    <w:p w14:paraId="019FDC87" w14:textId="77777777" w:rsidR="0013216B" w:rsidRDefault="0013216B" w:rsidP="0013216B"/>
    <w:tbl>
      <w:tblPr>
        <w:tblStyle w:val="TableGrid"/>
        <w:tblW w:w="0" w:type="auto"/>
        <w:tblLook w:val="04A0" w:firstRow="1" w:lastRow="0" w:firstColumn="1" w:lastColumn="0" w:noHBand="0" w:noVBand="1"/>
      </w:tblPr>
      <w:tblGrid>
        <w:gridCol w:w="2689"/>
        <w:gridCol w:w="6373"/>
      </w:tblGrid>
      <w:tr w:rsidR="0013216B" w14:paraId="019FDC8A" w14:textId="77777777" w:rsidTr="00EE0DBB">
        <w:tc>
          <w:tcPr>
            <w:tcW w:w="2689" w:type="dxa"/>
          </w:tcPr>
          <w:p w14:paraId="019FDC88" w14:textId="77777777" w:rsidR="0013216B" w:rsidRDefault="0013216B" w:rsidP="00EE0DBB">
            <w:r>
              <w:rPr>
                <w:b/>
              </w:rPr>
              <w:t>Taotleja nimi ja ametikoht</w:t>
            </w:r>
          </w:p>
        </w:tc>
        <w:tc>
          <w:tcPr>
            <w:tcW w:w="6373" w:type="dxa"/>
          </w:tcPr>
          <w:p w14:paraId="019FDC89" w14:textId="77777777" w:rsidR="0013216B" w:rsidRDefault="00F60695" w:rsidP="00EE0DBB">
            <w:sdt>
              <w:sdtPr>
                <w:id w:val="-619529200"/>
                <w:placeholder>
                  <w:docPart w:val="468853444E734DD5BAD83B17E4652592"/>
                </w:placeholder>
                <w:showingPlcHdr/>
                <w:text/>
              </w:sdtPr>
              <w:sdtEndPr/>
              <w:sdtContent>
                <w:r w:rsidR="0013216B">
                  <w:rPr>
                    <w:rStyle w:val="PlaceholderText"/>
                  </w:rPr>
                  <w:t>sisesta nimi  ja ametikoht</w:t>
                </w:r>
                <w:r w:rsidR="0013216B" w:rsidRPr="00D14F44">
                  <w:rPr>
                    <w:rStyle w:val="PlaceholderText"/>
                  </w:rPr>
                  <w:t>.</w:t>
                </w:r>
              </w:sdtContent>
            </w:sdt>
          </w:p>
        </w:tc>
      </w:tr>
    </w:tbl>
    <w:p w14:paraId="019FDC8B" w14:textId="77777777" w:rsidR="0013216B" w:rsidRDefault="0013216B" w:rsidP="0013216B">
      <w:r>
        <w:br/>
      </w:r>
      <w:r w:rsidRPr="00175643">
        <w:rPr>
          <w:b/>
        </w:rPr>
        <w:t>Taotleja akadeemilise tegevuse portfoolio</w:t>
      </w:r>
      <w:r>
        <w:rPr>
          <w:rStyle w:val="EndnoteReference"/>
        </w:rPr>
        <w:endnoteReference w:id="1"/>
      </w:r>
    </w:p>
    <w:p w14:paraId="019FDC8C" w14:textId="77777777" w:rsidR="0013216B" w:rsidRDefault="0013216B" w:rsidP="0013216B">
      <w:r>
        <w:t xml:space="preserve">1. </w:t>
      </w:r>
      <w:r w:rsidRPr="00175643">
        <w:rPr>
          <w:b/>
        </w:rPr>
        <w:t>Enesetutvustus</w:t>
      </w:r>
    </w:p>
    <w:tbl>
      <w:tblPr>
        <w:tblStyle w:val="TableGrid"/>
        <w:tblW w:w="0" w:type="auto"/>
        <w:tblLook w:val="04A0" w:firstRow="1" w:lastRow="0" w:firstColumn="1" w:lastColumn="0" w:noHBand="0" w:noVBand="1"/>
      </w:tblPr>
      <w:tblGrid>
        <w:gridCol w:w="9062"/>
      </w:tblGrid>
      <w:tr w:rsidR="0013216B" w14:paraId="019FDC8E" w14:textId="77777777" w:rsidTr="00EE0DBB">
        <w:tc>
          <w:tcPr>
            <w:tcW w:w="9062" w:type="dxa"/>
          </w:tcPr>
          <w:p w14:paraId="019FDC8D" w14:textId="77777777" w:rsidR="0013216B" w:rsidRPr="006C7005" w:rsidRDefault="0013216B" w:rsidP="00EE0DBB">
            <w:pPr>
              <w:rPr>
                <w:i/>
              </w:rPr>
            </w:pPr>
            <w:r w:rsidRPr="006C7005">
              <w:rPr>
                <w:i/>
              </w:rPr>
              <w:t>Koosneb portfoolio koostaja vabas vormis ülevaatest oma töökogemusest, olulistest karjääriarengutest viimastel aastatel, mõjust ühiskondlikus elus  akadeemilise tegevuse põhimõtetest ja muust olulisest oma arvamuse kohaselt. Nii atesteerimisel kui kandideerimisel kasutatakse ETIS-e CV-d, mida siinkohal ei ole vaja esitada.</w:t>
            </w:r>
          </w:p>
        </w:tc>
      </w:tr>
    </w:tbl>
    <w:p w14:paraId="019FDC8F" w14:textId="77777777" w:rsidR="0013216B" w:rsidRDefault="0013216B" w:rsidP="0013216B"/>
    <w:p w14:paraId="019FDC90" w14:textId="77777777" w:rsidR="0013216B" w:rsidRPr="00175643" w:rsidRDefault="0013216B" w:rsidP="0013216B">
      <w:pPr>
        <w:rPr>
          <w:b/>
        </w:rPr>
      </w:pPr>
      <w:r>
        <w:t xml:space="preserve">2. </w:t>
      </w:r>
      <w:r w:rsidRPr="00175643">
        <w:rPr>
          <w:b/>
        </w:rPr>
        <w:t>Motiveeritud enesehinnang akadeemilise hindamise maatriksis</w:t>
      </w:r>
      <w:r>
        <w:rPr>
          <w:rStyle w:val="EndnoteReference"/>
          <w:b/>
        </w:rPr>
        <w:endnoteReference w:id="2"/>
      </w:r>
      <w:r w:rsidRPr="00175643">
        <w:rPr>
          <w:b/>
        </w:rPr>
        <w:t xml:space="preserve"> toodud pädevuste ja tulemuslikkuse näitajate suhtes.</w:t>
      </w:r>
    </w:p>
    <w:tbl>
      <w:tblPr>
        <w:tblStyle w:val="TableGrid"/>
        <w:tblW w:w="0" w:type="auto"/>
        <w:tblLook w:val="04A0" w:firstRow="1" w:lastRow="0" w:firstColumn="1" w:lastColumn="0" w:noHBand="0" w:noVBand="1"/>
      </w:tblPr>
      <w:tblGrid>
        <w:gridCol w:w="2106"/>
        <w:gridCol w:w="1431"/>
        <w:gridCol w:w="1332"/>
        <w:gridCol w:w="1485"/>
        <w:gridCol w:w="2830"/>
      </w:tblGrid>
      <w:tr w:rsidR="0013216B" w:rsidRPr="001F43E2" w14:paraId="019FDC92" w14:textId="77777777" w:rsidTr="00EE0DBB">
        <w:trPr>
          <w:trHeight w:val="226"/>
        </w:trPr>
        <w:tc>
          <w:tcPr>
            <w:tcW w:w="9062" w:type="dxa"/>
            <w:gridSpan w:val="5"/>
            <w:shd w:val="clear" w:color="auto" w:fill="D9D9D9" w:themeFill="background1" w:themeFillShade="D9"/>
          </w:tcPr>
          <w:p w14:paraId="019FDC91" w14:textId="77777777" w:rsidR="0013216B" w:rsidRPr="00D542B4" w:rsidRDefault="0013216B" w:rsidP="00EE0DBB">
            <w:pPr>
              <w:suppressAutoHyphens/>
              <w:spacing w:line="276" w:lineRule="auto"/>
              <w:jc w:val="both"/>
              <w:rPr>
                <w:rFonts w:asciiTheme="minorHAnsi" w:hAnsiTheme="minorHAnsi" w:cstheme="minorHAnsi"/>
                <w:b/>
                <w:sz w:val="20"/>
                <w:szCs w:val="20"/>
                <w:lang w:eastAsia="en-US"/>
              </w:rPr>
            </w:pPr>
            <w:r w:rsidRPr="00D542B4">
              <w:rPr>
                <w:rFonts w:asciiTheme="minorHAnsi" w:hAnsiTheme="minorHAnsi" w:cstheme="minorHAnsi"/>
                <w:b/>
                <w:sz w:val="20"/>
                <w:szCs w:val="20"/>
                <w:lang w:eastAsia="en-US"/>
              </w:rPr>
              <w:t>Taotletav ametikoht:</w:t>
            </w:r>
            <w:r>
              <w:rPr>
                <w:rFonts w:asciiTheme="minorHAnsi" w:hAnsiTheme="minorHAnsi" w:cstheme="minorHAnsi"/>
                <w:b/>
                <w:sz w:val="20"/>
                <w:szCs w:val="20"/>
                <w:lang w:eastAsia="en-US"/>
              </w:rPr>
              <w:t xml:space="preserve"> </w:t>
            </w:r>
            <w:sdt>
              <w:sdtPr>
                <w:rPr>
                  <w:sz w:val="20"/>
                  <w:highlight w:val="lightGray"/>
                </w:rPr>
                <w:id w:val="-1365984273"/>
                <w:placeholder>
                  <w:docPart w:val="CE32CB5A8E75455F97FE5C28F50311DF"/>
                </w:placeholder>
                <w:comboBox>
                  <w:listItem w:displayText="vali ametikoht" w:value="vali ametikoht"/>
                  <w:listItem w:displayText="tenuuriväline kaasprofessor" w:value="tenuuriväline kaasprofessor"/>
                  <w:listItem w:displayText="juhtivteadur" w:value="juhtivteadur"/>
                </w:comboBox>
              </w:sdtPr>
              <w:sdtEndPr/>
              <w:sdtContent>
                <w:r>
                  <w:rPr>
                    <w:sz w:val="20"/>
                    <w:szCs w:val="20"/>
                    <w:highlight w:val="lightGray"/>
                  </w:rPr>
                  <w:t>vali ametikoht</w:t>
                </w:r>
              </w:sdtContent>
            </w:sdt>
          </w:p>
        </w:tc>
      </w:tr>
      <w:tr w:rsidR="0013216B" w:rsidRPr="001F43E2" w14:paraId="019FDC98" w14:textId="77777777" w:rsidTr="00EE0DBB">
        <w:trPr>
          <w:trHeight w:val="680"/>
        </w:trPr>
        <w:tc>
          <w:tcPr>
            <w:tcW w:w="2106" w:type="dxa"/>
            <w:shd w:val="clear" w:color="auto" w:fill="D9D9D9" w:themeFill="background1" w:themeFillShade="D9"/>
          </w:tcPr>
          <w:p w14:paraId="019FDC93" w14:textId="77777777" w:rsidR="0013216B" w:rsidRPr="00182622" w:rsidRDefault="0013216B" w:rsidP="00EE0DBB">
            <w:pPr>
              <w:suppressAutoHyphens/>
              <w:spacing w:after="120" w:line="276" w:lineRule="auto"/>
              <w:jc w:val="both"/>
              <w:rPr>
                <w:rFonts w:asciiTheme="minorHAnsi" w:hAnsiTheme="minorHAnsi" w:cstheme="minorHAnsi"/>
                <w:b/>
                <w:sz w:val="20"/>
                <w:szCs w:val="20"/>
                <w:lang w:eastAsia="en-US"/>
              </w:rPr>
            </w:pPr>
            <w:r w:rsidRPr="00182622">
              <w:rPr>
                <w:rFonts w:asciiTheme="minorHAnsi" w:hAnsiTheme="minorHAnsi" w:cstheme="minorHAnsi"/>
                <w:b/>
                <w:sz w:val="20"/>
                <w:szCs w:val="20"/>
                <w:lang w:eastAsia="en-US"/>
              </w:rPr>
              <w:t>Tegevusliik</w:t>
            </w:r>
          </w:p>
        </w:tc>
        <w:tc>
          <w:tcPr>
            <w:tcW w:w="1431" w:type="dxa"/>
            <w:shd w:val="clear" w:color="auto" w:fill="D9D9D9" w:themeFill="background1" w:themeFillShade="D9"/>
          </w:tcPr>
          <w:p w14:paraId="019FDC94" w14:textId="77777777" w:rsidR="0013216B" w:rsidRPr="00182622" w:rsidRDefault="0013216B" w:rsidP="00EE0DBB">
            <w:pPr>
              <w:suppressAutoHyphens/>
              <w:spacing w:after="120" w:line="276" w:lineRule="auto"/>
              <w:rPr>
                <w:rFonts w:asciiTheme="minorHAnsi" w:hAnsiTheme="minorHAnsi" w:cstheme="minorHAnsi"/>
                <w:b/>
                <w:sz w:val="20"/>
                <w:szCs w:val="20"/>
                <w:lang w:eastAsia="en-US"/>
              </w:rPr>
            </w:pPr>
            <w:r w:rsidRPr="00182622">
              <w:rPr>
                <w:rFonts w:asciiTheme="minorHAnsi" w:hAnsiTheme="minorHAnsi" w:cstheme="minorHAnsi"/>
                <w:b/>
                <w:sz w:val="20"/>
                <w:szCs w:val="20"/>
                <w:lang w:eastAsia="en-US"/>
              </w:rPr>
              <w:t>Akadeemilise hindamise maatriksi tenuurivälise kasprofessori ametikohale vastav tase</w:t>
            </w:r>
          </w:p>
        </w:tc>
        <w:tc>
          <w:tcPr>
            <w:tcW w:w="1332" w:type="dxa"/>
            <w:shd w:val="clear" w:color="auto" w:fill="D9D9D9" w:themeFill="background1" w:themeFillShade="D9"/>
          </w:tcPr>
          <w:p w14:paraId="019FDC95" w14:textId="77777777" w:rsidR="0013216B" w:rsidRPr="00182622" w:rsidRDefault="0013216B" w:rsidP="00EE0DBB">
            <w:pPr>
              <w:suppressAutoHyphens/>
              <w:spacing w:after="120" w:line="276" w:lineRule="auto"/>
              <w:rPr>
                <w:rFonts w:cstheme="minorHAnsi"/>
                <w:b/>
                <w:sz w:val="20"/>
                <w:szCs w:val="20"/>
              </w:rPr>
            </w:pPr>
            <w:r w:rsidRPr="00182622">
              <w:rPr>
                <w:rFonts w:asciiTheme="minorHAnsi" w:hAnsiTheme="minorHAnsi" w:cstheme="minorHAnsi"/>
                <w:b/>
                <w:sz w:val="20"/>
                <w:szCs w:val="20"/>
                <w:lang w:eastAsia="en-US"/>
              </w:rPr>
              <w:t>Akadeemilise hindamise maatriksi juhtivteaduri ametikohale vastav tase</w:t>
            </w:r>
          </w:p>
        </w:tc>
        <w:tc>
          <w:tcPr>
            <w:tcW w:w="1363" w:type="dxa"/>
            <w:shd w:val="clear" w:color="auto" w:fill="D9D9D9" w:themeFill="background1" w:themeFillShade="D9"/>
          </w:tcPr>
          <w:p w14:paraId="019FDC96" w14:textId="77777777" w:rsidR="0013216B" w:rsidRPr="00182622" w:rsidRDefault="0013216B" w:rsidP="00EE0DBB">
            <w:pPr>
              <w:suppressAutoHyphens/>
              <w:spacing w:after="120" w:line="276" w:lineRule="auto"/>
              <w:rPr>
                <w:rFonts w:asciiTheme="minorHAnsi" w:hAnsiTheme="minorHAnsi" w:cstheme="minorHAnsi"/>
                <w:b/>
                <w:sz w:val="20"/>
                <w:szCs w:val="20"/>
                <w:lang w:eastAsia="en-US"/>
              </w:rPr>
            </w:pPr>
            <w:r w:rsidRPr="00182622">
              <w:rPr>
                <w:rFonts w:asciiTheme="minorHAnsi" w:hAnsiTheme="minorHAnsi" w:cstheme="minorHAnsi"/>
                <w:b/>
                <w:sz w:val="20"/>
                <w:szCs w:val="20"/>
                <w:lang w:eastAsia="en-US"/>
              </w:rPr>
              <w:t>Töötaja enesehinnangu põhjal määratud tase</w:t>
            </w:r>
          </w:p>
        </w:tc>
        <w:tc>
          <w:tcPr>
            <w:tcW w:w="2830" w:type="dxa"/>
            <w:shd w:val="clear" w:color="auto" w:fill="D9D9D9" w:themeFill="background1" w:themeFillShade="D9"/>
          </w:tcPr>
          <w:p w14:paraId="019FDC97" w14:textId="77777777" w:rsidR="0013216B" w:rsidRPr="00182622" w:rsidRDefault="0013216B" w:rsidP="00EE0DBB">
            <w:pPr>
              <w:suppressAutoHyphens/>
              <w:spacing w:after="120" w:line="276" w:lineRule="auto"/>
              <w:rPr>
                <w:rFonts w:asciiTheme="minorHAnsi" w:hAnsiTheme="minorHAnsi" w:cstheme="minorHAnsi"/>
                <w:b/>
                <w:sz w:val="20"/>
                <w:szCs w:val="20"/>
                <w:lang w:eastAsia="en-US"/>
              </w:rPr>
            </w:pPr>
            <w:r w:rsidRPr="00182622">
              <w:rPr>
                <w:rFonts w:asciiTheme="minorHAnsi" w:hAnsiTheme="minorHAnsi" w:cstheme="minorHAnsi"/>
                <w:b/>
                <w:sz w:val="20"/>
                <w:szCs w:val="20"/>
                <w:lang w:eastAsia="en-US"/>
              </w:rPr>
              <w:t>Enesehinnangu põhjendus</w:t>
            </w:r>
          </w:p>
        </w:tc>
      </w:tr>
      <w:tr w:rsidR="0013216B" w:rsidRPr="001F43E2" w14:paraId="019FDC9E" w14:textId="77777777" w:rsidTr="00EE0DBB">
        <w:trPr>
          <w:trHeight w:val="680"/>
        </w:trPr>
        <w:tc>
          <w:tcPr>
            <w:tcW w:w="2106" w:type="dxa"/>
          </w:tcPr>
          <w:p w14:paraId="019FDC99" w14:textId="77777777" w:rsidR="0013216B" w:rsidRPr="00F83CA2" w:rsidRDefault="0013216B" w:rsidP="00EE0DBB">
            <w:pPr>
              <w:suppressAutoHyphens/>
              <w:spacing w:after="120" w:line="276" w:lineRule="auto"/>
              <w:rPr>
                <w:rFonts w:asciiTheme="minorHAnsi" w:hAnsiTheme="minorHAnsi" w:cstheme="minorHAnsi"/>
                <w:b/>
                <w:sz w:val="20"/>
                <w:szCs w:val="20"/>
                <w:lang w:eastAsia="en-US"/>
              </w:rPr>
            </w:pPr>
            <w:r w:rsidRPr="00F83CA2">
              <w:rPr>
                <w:rFonts w:asciiTheme="minorHAnsi" w:hAnsiTheme="minorHAnsi" w:cstheme="minorHAnsi"/>
                <w:b/>
                <w:sz w:val="20"/>
                <w:szCs w:val="20"/>
                <w:lang w:eastAsia="en-US"/>
              </w:rPr>
              <w:t xml:space="preserve">Publitseerimine ja tsiteeritavus  </w:t>
            </w:r>
          </w:p>
        </w:tc>
        <w:tc>
          <w:tcPr>
            <w:tcW w:w="1431" w:type="dxa"/>
          </w:tcPr>
          <w:p w14:paraId="019FDC9A" w14:textId="77777777" w:rsidR="0013216B" w:rsidRPr="00F83CA2" w:rsidRDefault="0013216B" w:rsidP="00EE0DBB">
            <w:pPr>
              <w:suppressAutoHyphens/>
              <w:spacing w:after="120" w:line="276"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3</w:t>
            </w:r>
          </w:p>
        </w:tc>
        <w:tc>
          <w:tcPr>
            <w:tcW w:w="1332" w:type="dxa"/>
          </w:tcPr>
          <w:p w14:paraId="019FDC9B" w14:textId="77777777" w:rsidR="0013216B" w:rsidRPr="00F83CA2" w:rsidRDefault="0013216B" w:rsidP="00EE0DBB">
            <w:pPr>
              <w:suppressAutoHyphens/>
              <w:spacing w:after="120" w:line="276" w:lineRule="auto"/>
              <w:jc w:val="both"/>
              <w:rPr>
                <w:rFonts w:cstheme="minorHAnsi"/>
                <w:sz w:val="20"/>
                <w:szCs w:val="20"/>
              </w:rPr>
            </w:pPr>
            <w:r>
              <w:rPr>
                <w:rFonts w:cstheme="minorHAnsi"/>
                <w:sz w:val="20"/>
                <w:szCs w:val="20"/>
              </w:rPr>
              <w:t>5</w:t>
            </w:r>
          </w:p>
        </w:tc>
        <w:tc>
          <w:tcPr>
            <w:tcW w:w="1363" w:type="dxa"/>
          </w:tcPr>
          <w:p w14:paraId="019FDC9C" w14:textId="77777777" w:rsidR="0013216B" w:rsidRPr="00F83CA2" w:rsidRDefault="0013216B" w:rsidP="00EE0DBB">
            <w:pPr>
              <w:suppressAutoHyphens/>
              <w:spacing w:after="120" w:line="276" w:lineRule="auto"/>
              <w:jc w:val="both"/>
              <w:rPr>
                <w:rFonts w:asciiTheme="minorHAnsi" w:hAnsiTheme="minorHAnsi" w:cstheme="minorHAnsi"/>
                <w:sz w:val="20"/>
                <w:szCs w:val="20"/>
                <w:lang w:eastAsia="en-US"/>
              </w:rPr>
            </w:pPr>
          </w:p>
        </w:tc>
        <w:tc>
          <w:tcPr>
            <w:tcW w:w="2830" w:type="dxa"/>
          </w:tcPr>
          <w:p w14:paraId="019FDC9D" w14:textId="77777777" w:rsidR="0013216B" w:rsidRPr="00F83CA2" w:rsidRDefault="0013216B" w:rsidP="00EE0DBB">
            <w:pPr>
              <w:suppressAutoHyphens/>
              <w:spacing w:after="120" w:line="276" w:lineRule="auto"/>
              <w:jc w:val="both"/>
              <w:rPr>
                <w:rFonts w:asciiTheme="minorHAnsi" w:hAnsiTheme="minorHAnsi" w:cstheme="minorHAnsi"/>
                <w:sz w:val="20"/>
                <w:szCs w:val="20"/>
                <w:lang w:eastAsia="en-US"/>
              </w:rPr>
            </w:pPr>
          </w:p>
        </w:tc>
      </w:tr>
      <w:tr w:rsidR="0013216B" w:rsidRPr="001F43E2" w14:paraId="019FDCA4" w14:textId="77777777" w:rsidTr="00EE0DBB">
        <w:trPr>
          <w:trHeight w:val="680"/>
        </w:trPr>
        <w:tc>
          <w:tcPr>
            <w:tcW w:w="2106" w:type="dxa"/>
          </w:tcPr>
          <w:p w14:paraId="019FDC9F" w14:textId="77777777" w:rsidR="0013216B" w:rsidRPr="00F83CA2" w:rsidRDefault="0013216B" w:rsidP="00EE0DBB">
            <w:pPr>
              <w:suppressAutoHyphens/>
              <w:spacing w:after="120" w:line="276" w:lineRule="auto"/>
              <w:rPr>
                <w:rFonts w:asciiTheme="minorHAnsi" w:hAnsiTheme="minorHAnsi" w:cstheme="minorHAnsi"/>
                <w:b/>
                <w:sz w:val="20"/>
                <w:szCs w:val="20"/>
                <w:lang w:eastAsia="en-US"/>
              </w:rPr>
            </w:pPr>
            <w:r w:rsidRPr="00F83CA2">
              <w:rPr>
                <w:rFonts w:asciiTheme="minorHAnsi" w:hAnsiTheme="minorHAnsi" w:cstheme="minorHAnsi"/>
                <w:b/>
                <w:sz w:val="20"/>
                <w:szCs w:val="20"/>
                <w:lang w:eastAsia="en-US"/>
              </w:rPr>
              <w:t>Aktiivsus ja edukus rahastuse taotlemisel</w:t>
            </w:r>
          </w:p>
        </w:tc>
        <w:tc>
          <w:tcPr>
            <w:tcW w:w="1431" w:type="dxa"/>
          </w:tcPr>
          <w:p w14:paraId="019FDCA0" w14:textId="77777777" w:rsidR="0013216B" w:rsidRPr="00F83CA2" w:rsidRDefault="0013216B" w:rsidP="00EE0DBB">
            <w:pPr>
              <w:suppressAutoHyphens/>
              <w:spacing w:after="120" w:line="276"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2</w:t>
            </w:r>
          </w:p>
        </w:tc>
        <w:tc>
          <w:tcPr>
            <w:tcW w:w="1332" w:type="dxa"/>
          </w:tcPr>
          <w:p w14:paraId="019FDCA1" w14:textId="77777777" w:rsidR="0013216B" w:rsidRPr="00F83CA2" w:rsidRDefault="0013216B" w:rsidP="00EE0DBB">
            <w:pPr>
              <w:suppressAutoHyphens/>
              <w:spacing w:after="120" w:line="276" w:lineRule="auto"/>
              <w:jc w:val="both"/>
              <w:rPr>
                <w:rFonts w:cstheme="minorHAnsi"/>
                <w:sz w:val="20"/>
                <w:szCs w:val="20"/>
              </w:rPr>
            </w:pPr>
            <w:r>
              <w:rPr>
                <w:rFonts w:cstheme="minorHAnsi"/>
                <w:sz w:val="20"/>
                <w:szCs w:val="20"/>
              </w:rPr>
              <w:t>5</w:t>
            </w:r>
          </w:p>
        </w:tc>
        <w:tc>
          <w:tcPr>
            <w:tcW w:w="1363" w:type="dxa"/>
          </w:tcPr>
          <w:p w14:paraId="019FDCA2" w14:textId="77777777" w:rsidR="0013216B" w:rsidRPr="00F83CA2" w:rsidRDefault="0013216B" w:rsidP="00EE0DBB">
            <w:pPr>
              <w:suppressAutoHyphens/>
              <w:spacing w:after="120" w:line="276" w:lineRule="auto"/>
              <w:jc w:val="both"/>
              <w:rPr>
                <w:rFonts w:asciiTheme="minorHAnsi" w:hAnsiTheme="minorHAnsi" w:cstheme="minorHAnsi"/>
                <w:sz w:val="20"/>
                <w:szCs w:val="20"/>
                <w:lang w:eastAsia="en-US"/>
              </w:rPr>
            </w:pPr>
          </w:p>
        </w:tc>
        <w:tc>
          <w:tcPr>
            <w:tcW w:w="2830" w:type="dxa"/>
          </w:tcPr>
          <w:p w14:paraId="019FDCA3" w14:textId="77777777" w:rsidR="0013216B" w:rsidRPr="00F83CA2" w:rsidRDefault="0013216B" w:rsidP="00EE0DBB">
            <w:pPr>
              <w:suppressAutoHyphens/>
              <w:spacing w:after="120" w:line="276" w:lineRule="auto"/>
              <w:jc w:val="both"/>
              <w:rPr>
                <w:rFonts w:asciiTheme="minorHAnsi" w:hAnsiTheme="minorHAnsi" w:cstheme="minorHAnsi"/>
                <w:sz w:val="20"/>
                <w:szCs w:val="20"/>
                <w:lang w:eastAsia="en-US"/>
              </w:rPr>
            </w:pPr>
          </w:p>
        </w:tc>
      </w:tr>
      <w:tr w:rsidR="0013216B" w:rsidRPr="001F43E2" w14:paraId="019FDCAA" w14:textId="77777777" w:rsidTr="00EE0DBB">
        <w:trPr>
          <w:trHeight w:val="680"/>
        </w:trPr>
        <w:tc>
          <w:tcPr>
            <w:tcW w:w="2106" w:type="dxa"/>
          </w:tcPr>
          <w:p w14:paraId="019FDCA5" w14:textId="77777777" w:rsidR="0013216B" w:rsidRPr="00F83CA2" w:rsidRDefault="0013216B" w:rsidP="00EE0DBB">
            <w:pPr>
              <w:suppressAutoHyphens/>
              <w:spacing w:after="120" w:line="276" w:lineRule="auto"/>
              <w:jc w:val="both"/>
              <w:rPr>
                <w:rFonts w:asciiTheme="minorHAnsi" w:hAnsiTheme="minorHAnsi" w:cstheme="minorHAnsi"/>
                <w:b/>
                <w:sz w:val="20"/>
                <w:szCs w:val="20"/>
                <w:lang w:eastAsia="en-US"/>
              </w:rPr>
            </w:pPr>
            <w:r w:rsidRPr="00F83CA2">
              <w:rPr>
                <w:rFonts w:asciiTheme="minorHAnsi" w:hAnsiTheme="minorHAnsi" w:cstheme="minorHAnsi"/>
                <w:b/>
                <w:sz w:val="20"/>
                <w:szCs w:val="20"/>
                <w:lang w:eastAsia="en-US"/>
              </w:rPr>
              <w:t>Juhendamine</w:t>
            </w:r>
          </w:p>
        </w:tc>
        <w:tc>
          <w:tcPr>
            <w:tcW w:w="1431" w:type="dxa"/>
          </w:tcPr>
          <w:p w14:paraId="019FDCA6" w14:textId="77777777" w:rsidR="0013216B" w:rsidRPr="00F83CA2" w:rsidRDefault="0013216B" w:rsidP="00EE0DBB">
            <w:pPr>
              <w:suppressAutoHyphens/>
              <w:spacing w:after="120" w:line="276"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4</w:t>
            </w:r>
          </w:p>
        </w:tc>
        <w:tc>
          <w:tcPr>
            <w:tcW w:w="1332" w:type="dxa"/>
          </w:tcPr>
          <w:p w14:paraId="019FDCA7" w14:textId="77777777" w:rsidR="0013216B" w:rsidRPr="00F83CA2" w:rsidRDefault="0013216B" w:rsidP="00EE0DBB">
            <w:pPr>
              <w:suppressAutoHyphens/>
              <w:spacing w:after="120" w:line="276" w:lineRule="auto"/>
              <w:jc w:val="both"/>
              <w:rPr>
                <w:rFonts w:cstheme="minorHAnsi"/>
                <w:sz w:val="20"/>
                <w:szCs w:val="20"/>
              </w:rPr>
            </w:pPr>
            <w:r>
              <w:rPr>
                <w:rFonts w:cstheme="minorHAnsi"/>
                <w:sz w:val="20"/>
                <w:szCs w:val="20"/>
              </w:rPr>
              <w:t>4</w:t>
            </w:r>
          </w:p>
        </w:tc>
        <w:tc>
          <w:tcPr>
            <w:tcW w:w="1363" w:type="dxa"/>
          </w:tcPr>
          <w:p w14:paraId="019FDCA8" w14:textId="77777777" w:rsidR="0013216B" w:rsidRPr="00F83CA2" w:rsidRDefault="0013216B" w:rsidP="00EE0DBB">
            <w:pPr>
              <w:suppressAutoHyphens/>
              <w:spacing w:after="120" w:line="276" w:lineRule="auto"/>
              <w:jc w:val="both"/>
              <w:rPr>
                <w:rFonts w:asciiTheme="minorHAnsi" w:hAnsiTheme="minorHAnsi" w:cstheme="minorHAnsi"/>
                <w:sz w:val="20"/>
                <w:szCs w:val="20"/>
                <w:lang w:eastAsia="en-US"/>
              </w:rPr>
            </w:pPr>
          </w:p>
        </w:tc>
        <w:tc>
          <w:tcPr>
            <w:tcW w:w="2830" w:type="dxa"/>
          </w:tcPr>
          <w:p w14:paraId="019FDCA9" w14:textId="77777777" w:rsidR="0013216B" w:rsidRPr="00F83CA2" w:rsidRDefault="0013216B" w:rsidP="00EE0DBB">
            <w:pPr>
              <w:suppressAutoHyphens/>
              <w:spacing w:after="120" w:line="276" w:lineRule="auto"/>
              <w:jc w:val="both"/>
              <w:rPr>
                <w:rFonts w:asciiTheme="minorHAnsi" w:hAnsiTheme="minorHAnsi" w:cstheme="minorHAnsi"/>
                <w:sz w:val="20"/>
                <w:szCs w:val="20"/>
                <w:lang w:eastAsia="en-US"/>
              </w:rPr>
            </w:pPr>
          </w:p>
        </w:tc>
      </w:tr>
      <w:tr w:rsidR="0013216B" w:rsidRPr="001F43E2" w14:paraId="019FDCB0" w14:textId="77777777" w:rsidTr="00EE0DBB">
        <w:trPr>
          <w:trHeight w:val="680"/>
        </w:trPr>
        <w:tc>
          <w:tcPr>
            <w:tcW w:w="2106" w:type="dxa"/>
          </w:tcPr>
          <w:p w14:paraId="019FDCAB" w14:textId="77777777" w:rsidR="0013216B" w:rsidRPr="00F83CA2" w:rsidRDefault="0013216B" w:rsidP="00EE0DBB">
            <w:pPr>
              <w:suppressAutoHyphens/>
              <w:spacing w:after="120" w:line="276" w:lineRule="auto"/>
              <w:rPr>
                <w:rFonts w:asciiTheme="minorHAnsi" w:hAnsiTheme="minorHAnsi" w:cstheme="minorHAnsi"/>
                <w:b/>
                <w:sz w:val="20"/>
                <w:szCs w:val="20"/>
                <w:lang w:eastAsia="en-US"/>
              </w:rPr>
            </w:pPr>
            <w:r w:rsidRPr="00F83CA2">
              <w:rPr>
                <w:rFonts w:asciiTheme="minorHAnsi" w:hAnsiTheme="minorHAnsi" w:cstheme="minorHAnsi"/>
                <w:b/>
                <w:sz w:val="20"/>
                <w:szCs w:val="20"/>
                <w:lang w:eastAsia="en-US"/>
              </w:rPr>
              <w:t>Õppetöö ja õppearendustegevus</w:t>
            </w:r>
          </w:p>
        </w:tc>
        <w:tc>
          <w:tcPr>
            <w:tcW w:w="1431" w:type="dxa"/>
          </w:tcPr>
          <w:p w14:paraId="019FDCAC" w14:textId="77777777" w:rsidR="0013216B" w:rsidRPr="00F83CA2" w:rsidRDefault="0013216B" w:rsidP="00EE0DBB">
            <w:pPr>
              <w:suppressAutoHyphens/>
              <w:spacing w:after="120" w:line="276"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5</w:t>
            </w:r>
          </w:p>
        </w:tc>
        <w:tc>
          <w:tcPr>
            <w:tcW w:w="1332" w:type="dxa"/>
          </w:tcPr>
          <w:p w14:paraId="019FDCAD" w14:textId="77777777" w:rsidR="0013216B" w:rsidRPr="00F83CA2" w:rsidRDefault="0013216B" w:rsidP="00EE0DBB">
            <w:pPr>
              <w:suppressAutoHyphens/>
              <w:spacing w:after="120" w:line="276" w:lineRule="auto"/>
              <w:jc w:val="both"/>
              <w:rPr>
                <w:rFonts w:cstheme="minorHAnsi"/>
                <w:sz w:val="20"/>
                <w:szCs w:val="20"/>
              </w:rPr>
            </w:pPr>
            <w:r>
              <w:rPr>
                <w:rFonts w:cstheme="minorHAnsi"/>
                <w:sz w:val="20"/>
                <w:szCs w:val="20"/>
              </w:rPr>
              <w:t>-</w:t>
            </w:r>
          </w:p>
        </w:tc>
        <w:tc>
          <w:tcPr>
            <w:tcW w:w="1363" w:type="dxa"/>
          </w:tcPr>
          <w:p w14:paraId="019FDCAE" w14:textId="77777777" w:rsidR="0013216B" w:rsidRPr="00F83CA2" w:rsidRDefault="0013216B" w:rsidP="00EE0DBB">
            <w:pPr>
              <w:suppressAutoHyphens/>
              <w:spacing w:after="120" w:line="276" w:lineRule="auto"/>
              <w:jc w:val="both"/>
              <w:rPr>
                <w:rFonts w:asciiTheme="minorHAnsi" w:hAnsiTheme="minorHAnsi" w:cstheme="minorHAnsi"/>
                <w:sz w:val="20"/>
                <w:szCs w:val="20"/>
                <w:lang w:eastAsia="en-US"/>
              </w:rPr>
            </w:pPr>
          </w:p>
        </w:tc>
        <w:tc>
          <w:tcPr>
            <w:tcW w:w="2830" w:type="dxa"/>
          </w:tcPr>
          <w:p w14:paraId="019FDCAF" w14:textId="77777777" w:rsidR="0013216B" w:rsidRPr="00F83CA2" w:rsidRDefault="0013216B" w:rsidP="00EE0DBB">
            <w:pPr>
              <w:suppressAutoHyphens/>
              <w:spacing w:after="120" w:line="276" w:lineRule="auto"/>
              <w:jc w:val="both"/>
              <w:rPr>
                <w:rFonts w:asciiTheme="minorHAnsi" w:hAnsiTheme="minorHAnsi" w:cstheme="minorHAnsi"/>
                <w:sz w:val="20"/>
                <w:szCs w:val="20"/>
                <w:lang w:eastAsia="en-US"/>
              </w:rPr>
            </w:pPr>
          </w:p>
        </w:tc>
      </w:tr>
      <w:tr w:rsidR="0013216B" w:rsidRPr="001F43E2" w14:paraId="019FDCB6" w14:textId="77777777" w:rsidTr="00EE0DBB">
        <w:trPr>
          <w:trHeight w:val="680"/>
        </w:trPr>
        <w:tc>
          <w:tcPr>
            <w:tcW w:w="2106" w:type="dxa"/>
          </w:tcPr>
          <w:p w14:paraId="019FDCB1" w14:textId="77777777" w:rsidR="0013216B" w:rsidRPr="00F83CA2" w:rsidRDefault="0013216B" w:rsidP="00EE0DBB">
            <w:pPr>
              <w:suppressAutoHyphens/>
              <w:spacing w:after="120" w:line="276" w:lineRule="auto"/>
              <w:rPr>
                <w:rFonts w:asciiTheme="minorHAnsi" w:hAnsiTheme="minorHAnsi" w:cstheme="minorHAnsi"/>
                <w:b/>
                <w:sz w:val="20"/>
                <w:szCs w:val="20"/>
                <w:lang w:eastAsia="en-US"/>
              </w:rPr>
            </w:pPr>
            <w:r w:rsidRPr="00F83CA2">
              <w:rPr>
                <w:rFonts w:asciiTheme="minorHAnsi" w:hAnsiTheme="minorHAnsi" w:cstheme="minorHAnsi"/>
                <w:b/>
                <w:sz w:val="20"/>
                <w:szCs w:val="20"/>
                <w:lang w:eastAsia="en-US"/>
              </w:rPr>
              <w:t>Kutsealane, erialane ning teadus- ja hariduskorralduslik tegevus</w:t>
            </w:r>
          </w:p>
        </w:tc>
        <w:tc>
          <w:tcPr>
            <w:tcW w:w="1431" w:type="dxa"/>
          </w:tcPr>
          <w:p w14:paraId="019FDCB2" w14:textId="77777777" w:rsidR="0013216B" w:rsidRPr="00F83CA2" w:rsidRDefault="0013216B" w:rsidP="00EE0DBB">
            <w:pPr>
              <w:suppressAutoHyphens/>
              <w:spacing w:after="120" w:line="276" w:lineRule="auto"/>
              <w:rPr>
                <w:rFonts w:asciiTheme="minorHAnsi" w:hAnsiTheme="minorHAnsi" w:cstheme="minorHAnsi"/>
                <w:sz w:val="20"/>
                <w:szCs w:val="20"/>
                <w:lang w:eastAsia="en-US"/>
              </w:rPr>
            </w:pPr>
            <w:r>
              <w:rPr>
                <w:rFonts w:asciiTheme="minorHAnsi" w:hAnsiTheme="minorHAnsi" w:cstheme="minorHAnsi"/>
                <w:sz w:val="20"/>
                <w:szCs w:val="20"/>
                <w:lang w:eastAsia="en-US"/>
              </w:rPr>
              <w:t>4</w:t>
            </w:r>
          </w:p>
        </w:tc>
        <w:tc>
          <w:tcPr>
            <w:tcW w:w="1332" w:type="dxa"/>
          </w:tcPr>
          <w:p w14:paraId="019FDCB3" w14:textId="77777777" w:rsidR="0013216B" w:rsidRPr="00F83CA2" w:rsidRDefault="0013216B" w:rsidP="00EE0DBB">
            <w:pPr>
              <w:suppressAutoHyphens/>
              <w:spacing w:after="120" w:line="276" w:lineRule="auto"/>
              <w:jc w:val="both"/>
              <w:rPr>
                <w:rFonts w:cstheme="minorHAnsi"/>
                <w:sz w:val="20"/>
                <w:szCs w:val="20"/>
              </w:rPr>
            </w:pPr>
            <w:r>
              <w:rPr>
                <w:rFonts w:cstheme="minorHAnsi"/>
                <w:sz w:val="20"/>
                <w:szCs w:val="20"/>
              </w:rPr>
              <w:t>4</w:t>
            </w:r>
          </w:p>
        </w:tc>
        <w:tc>
          <w:tcPr>
            <w:tcW w:w="1363" w:type="dxa"/>
          </w:tcPr>
          <w:p w14:paraId="019FDCB4" w14:textId="77777777" w:rsidR="0013216B" w:rsidRPr="00F83CA2" w:rsidRDefault="0013216B" w:rsidP="00EE0DBB">
            <w:pPr>
              <w:suppressAutoHyphens/>
              <w:spacing w:after="120" w:line="276" w:lineRule="auto"/>
              <w:jc w:val="both"/>
              <w:rPr>
                <w:rFonts w:asciiTheme="minorHAnsi" w:hAnsiTheme="minorHAnsi" w:cstheme="minorHAnsi"/>
                <w:sz w:val="20"/>
                <w:szCs w:val="20"/>
                <w:lang w:eastAsia="en-US"/>
              </w:rPr>
            </w:pPr>
          </w:p>
        </w:tc>
        <w:tc>
          <w:tcPr>
            <w:tcW w:w="2830" w:type="dxa"/>
          </w:tcPr>
          <w:p w14:paraId="019FDCB5" w14:textId="77777777" w:rsidR="0013216B" w:rsidRPr="00F83CA2" w:rsidRDefault="0013216B" w:rsidP="00EE0DBB">
            <w:pPr>
              <w:suppressAutoHyphens/>
              <w:spacing w:after="120" w:line="276" w:lineRule="auto"/>
              <w:jc w:val="both"/>
              <w:rPr>
                <w:rFonts w:asciiTheme="minorHAnsi" w:hAnsiTheme="minorHAnsi" w:cstheme="minorHAnsi"/>
                <w:sz w:val="20"/>
                <w:szCs w:val="20"/>
                <w:lang w:eastAsia="en-US"/>
              </w:rPr>
            </w:pPr>
          </w:p>
        </w:tc>
      </w:tr>
      <w:tr w:rsidR="0013216B" w:rsidRPr="001F43E2" w14:paraId="019FDCBC" w14:textId="77777777" w:rsidTr="00EE0DBB">
        <w:trPr>
          <w:trHeight w:val="680"/>
        </w:trPr>
        <w:tc>
          <w:tcPr>
            <w:tcW w:w="2106" w:type="dxa"/>
          </w:tcPr>
          <w:p w14:paraId="019FDCB7" w14:textId="77777777" w:rsidR="0013216B" w:rsidRPr="00F83CA2" w:rsidRDefault="0013216B" w:rsidP="00EE0DBB">
            <w:pPr>
              <w:suppressAutoHyphens/>
              <w:spacing w:after="120" w:line="276" w:lineRule="auto"/>
              <w:rPr>
                <w:rFonts w:asciiTheme="minorHAnsi" w:hAnsiTheme="minorHAnsi" w:cstheme="minorHAnsi"/>
                <w:b/>
                <w:sz w:val="20"/>
                <w:szCs w:val="20"/>
                <w:lang w:eastAsia="en-US"/>
              </w:rPr>
            </w:pPr>
            <w:r w:rsidRPr="00F83CA2">
              <w:rPr>
                <w:rFonts w:asciiTheme="minorHAnsi" w:hAnsiTheme="minorHAnsi" w:cstheme="minorHAnsi"/>
                <w:b/>
                <w:sz w:val="20"/>
                <w:szCs w:val="20"/>
                <w:lang w:eastAsia="en-US"/>
              </w:rPr>
              <w:t>Avalikkusele suunatud tegevus ja tunnustused</w:t>
            </w:r>
          </w:p>
        </w:tc>
        <w:tc>
          <w:tcPr>
            <w:tcW w:w="1431" w:type="dxa"/>
          </w:tcPr>
          <w:p w14:paraId="019FDCB8" w14:textId="77777777" w:rsidR="0013216B" w:rsidRPr="00F83CA2" w:rsidRDefault="0013216B" w:rsidP="00EE0DBB">
            <w:pPr>
              <w:suppressAutoHyphens/>
              <w:spacing w:after="120" w:line="276" w:lineRule="auto"/>
              <w:jc w:val="both"/>
              <w:rPr>
                <w:rFonts w:asciiTheme="minorHAnsi" w:hAnsiTheme="minorHAnsi" w:cstheme="minorHAnsi"/>
                <w:sz w:val="20"/>
                <w:szCs w:val="20"/>
                <w:lang w:eastAsia="en-US"/>
              </w:rPr>
            </w:pPr>
            <w:r>
              <w:rPr>
                <w:rFonts w:asciiTheme="minorHAnsi" w:hAnsiTheme="minorHAnsi" w:cstheme="minorHAnsi"/>
                <w:sz w:val="20"/>
                <w:szCs w:val="20"/>
                <w:lang w:eastAsia="en-US"/>
              </w:rPr>
              <w:t>4</w:t>
            </w:r>
          </w:p>
        </w:tc>
        <w:tc>
          <w:tcPr>
            <w:tcW w:w="1332" w:type="dxa"/>
          </w:tcPr>
          <w:p w14:paraId="019FDCB9" w14:textId="77777777" w:rsidR="0013216B" w:rsidRPr="00F83CA2" w:rsidRDefault="0013216B" w:rsidP="00EE0DBB">
            <w:pPr>
              <w:suppressAutoHyphens/>
              <w:spacing w:after="120" w:line="276" w:lineRule="auto"/>
              <w:jc w:val="both"/>
              <w:rPr>
                <w:rFonts w:cstheme="minorHAnsi"/>
                <w:sz w:val="20"/>
                <w:szCs w:val="20"/>
              </w:rPr>
            </w:pPr>
            <w:r>
              <w:rPr>
                <w:rFonts w:cstheme="minorHAnsi"/>
                <w:sz w:val="20"/>
                <w:szCs w:val="20"/>
              </w:rPr>
              <w:t>5</w:t>
            </w:r>
          </w:p>
        </w:tc>
        <w:tc>
          <w:tcPr>
            <w:tcW w:w="1363" w:type="dxa"/>
          </w:tcPr>
          <w:p w14:paraId="019FDCBA" w14:textId="77777777" w:rsidR="0013216B" w:rsidRPr="00F83CA2" w:rsidRDefault="0013216B" w:rsidP="00EE0DBB">
            <w:pPr>
              <w:suppressAutoHyphens/>
              <w:spacing w:after="120" w:line="276" w:lineRule="auto"/>
              <w:jc w:val="both"/>
              <w:rPr>
                <w:rFonts w:asciiTheme="minorHAnsi" w:hAnsiTheme="minorHAnsi" w:cstheme="minorHAnsi"/>
                <w:sz w:val="20"/>
                <w:szCs w:val="20"/>
                <w:lang w:eastAsia="en-US"/>
              </w:rPr>
            </w:pPr>
          </w:p>
        </w:tc>
        <w:tc>
          <w:tcPr>
            <w:tcW w:w="2830" w:type="dxa"/>
          </w:tcPr>
          <w:p w14:paraId="019FDCBB" w14:textId="77777777" w:rsidR="0013216B" w:rsidRPr="00F83CA2" w:rsidRDefault="0013216B" w:rsidP="00EE0DBB">
            <w:pPr>
              <w:suppressAutoHyphens/>
              <w:spacing w:after="120" w:line="276" w:lineRule="auto"/>
              <w:jc w:val="both"/>
              <w:rPr>
                <w:rFonts w:asciiTheme="minorHAnsi" w:hAnsiTheme="minorHAnsi" w:cstheme="minorHAnsi"/>
                <w:sz w:val="20"/>
                <w:szCs w:val="20"/>
                <w:lang w:eastAsia="en-US"/>
              </w:rPr>
            </w:pPr>
          </w:p>
        </w:tc>
      </w:tr>
    </w:tbl>
    <w:p w14:paraId="019FDCBD" w14:textId="77777777" w:rsidR="0013216B" w:rsidRDefault="0013216B" w:rsidP="0013216B"/>
    <w:p w14:paraId="019FDCBE" w14:textId="77777777" w:rsidR="0013216B" w:rsidRPr="00553619" w:rsidRDefault="0013216B" w:rsidP="0013216B">
      <w:pPr>
        <w:rPr>
          <w:b/>
        </w:rPr>
      </w:pPr>
      <w:r>
        <w:t xml:space="preserve">3. </w:t>
      </w:r>
      <w:r w:rsidRPr="00175643">
        <w:rPr>
          <w:b/>
        </w:rPr>
        <w:t>Järgneva viie aasta eesmärkide ja nende saavutamise tegevuskava</w:t>
      </w:r>
      <w:r>
        <w:rPr>
          <w:rStyle w:val="EndnoteReference"/>
          <w:b/>
        </w:rPr>
        <w:endnoteReference w:id="3"/>
      </w:r>
      <w:r w:rsidRPr="00175643">
        <w:rPr>
          <w:b/>
        </w:rPr>
        <w:t>.</w:t>
      </w:r>
    </w:p>
    <w:tbl>
      <w:tblPr>
        <w:tblStyle w:val="TableGrid"/>
        <w:tblW w:w="0" w:type="auto"/>
        <w:tblLook w:val="04A0" w:firstRow="1" w:lastRow="0" w:firstColumn="1" w:lastColumn="0" w:noHBand="0" w:noVBand="1"/>
      </w:tblPr>
      <w:tblGrid>
        <w:gridCol w:w="9062"/>
      </w:tblGrid>
      <w:tr w:rsidR="0013216B" w14:paraId="019FDCC3" w14:textId="77777777" w:rsidTr="00EE0DBB">
        <w:tc>
          <w:tcPr>
            <w:tcW w:w="9062" w:type="dxa"/>
          </w:tcPr>
          <w:p w14:paraId="019FDCBF" w14:textId="77777777" w:rsidR="0013216B" w:rsidRDefault="0013216B" w:rsidP="00EE0DBB"/>
          <w:p w14:paraId="019FDCC0" w14:textId="77777777" w:rsidR="0013216B" w:rsidRDefault="0013216B" w:rsidP="00EE0DBB"/>
          <w:p w14:paraId="019FDCC1" w14:textId="77777777" w:rsidR="0013216B" w:rsidRDefault="0013216B" w:rsidP="00EE0DBB"/>
          <w:p w14:paraId="019FDCC2" w14:textId="77777777" w:rsidR="0013216B" w:rsidRDefault="0013216B" w:rsidP="00EE0DBB"/>
        </w:tc>
      </w:tr>
    </w:tbl>
    <w:p w14:paraId="019FDCC4" w14:textId="77777777" w:rsidR="0013216B" w:rsidRDefault="0013216B" w:rsidP="0013216B"/>
    <w:p w14:paraId="019FDCC5" w14:textId="77777777" w:rsidR="0013216B" w:rsidRDefault="0013216B" w:rsidP="0013216B">
      <w:pPr>
        <w:rPr>
          <w:sz w:val="20"/>
        </w:rPr>
      </w:pPr>
      <w:r w:rsidRPr="00C7190C">
        <w:t>Taotleja nimi ja allkiri</w:t>
      </w:r>
      <w:r w:rsidRPr="00C7190C">
        <w:rPr>
          <w:i/>
        </w:rPr>
        <w:t xml:space="preserve"> </w:t>
      </w:r>
      <w:r w:rsidRPr="00C7190C">
        <w:rPr>
          <w:i/>
        </w:rPr>
        <w:br/>
      </w:r>
      <w:r w:rsidRPr="00956FCB">
        <w:rPr>
          <w:sz w:val="20"/>
        </w:rPr>
        <w:t>/allkirjastatud digitaalselt/</w:t>
      </w:r>
    </w:p>
    <w:p w14:paraId="019FDCC6" w14:textId="77777777" w:rsidR="0013216B" w:rsidRDefault="0013216B" w:rsidP="0013216B"/>
    <w:p w14:paraId="019FDCC7" w14:textId="77777777" w:rsidR="0013216B" w:rsidRDefault="0013216B" w:rsidP="0013216B">
      <w:r>
        <w:lastRenderedPageBreak/>
        <w:t>Kinnitan ametikoha taotluse</w:t>
      </w:r>
    </w:p>
    <w:p w14:paraId="019FDCC8" w14:textId="77777777" w:rsidR="0013216B" w:rsidRDefault="0013216B" w:rsidP="0013216B"/>
    <w:p w14:paraId="019FDCC9" w14:textId="77777777" w:rsidR="0013216B" w:rsidRPr="00C7190C" w:rsidRDefault="0013216B" w:rsidP="0013216B">
      <w:r w:rsidRPr="00956FCB">
        <w:t>Instituudi direktori nimi ja allkiri</w:t>
      </w:r>
      <w:r>
        <w:br/>
      </w:r>
      <w:r w:rsidRPr="00956FCB">
        <w:rPr>
          <w:sz w:val="20"/>
        </w:rPr>
        <w:t>/allkirjastatud digitaalselt/</w:t>
      </w:r>
    </w:p>
    <w:p w14:paraId="019FDCCA" w14:textId="77777777" w:rsidR="0013216B" w:rsidRDefault="0013216B" w:rsidP="0013216B"/>
    <w:p w14:paraId="019FDCCB" w14:textId="77777777" w:rsidR="0098699A" w:rsidRPr="001C72DD" w:rsidRDefault="0098699A" w:rsidP="0013216B">
      <w:pPr>
        <w:pStyle w:val="Lisatekst"/>
        <w:numPr>
          <w:ilvl w:val="0"/>
          <w:numId w:val="0"/>
        </w:numPr>
      </w:pPr>
    </w:p>
    <w:p w14:paraId="019FDCCC" w14:textId="77777777" w:rsidR="00266E9B" w:rsidRPr="001C72DD" w:rsidRDefault="00266E9B" w:rsidP="00174FF5"/>
    <w:sectPr w:rsidR="00266E9B" w:rsidRPr="001C72DD" w:rsidSect="0098699A">
      <w:headerReference w:type="even" r:id="rId10"/>
      <w:headerReference w:type="default" r:id="rId11"/>
      <w:footerReference w:type="even" r:id="rId12"/>
      <w:pgSz w:w="11906" w:h="16838" w:code="9"/>
      <w:pgMar w:top="680" w:right="851" w:bottom="680" w:left="1701" w:header="397" w:footer="51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FDCD3" w14:textId="77777777" w:rsidR="007A475B" w:rsidRDefault="007A475B">
      <w:r>
        <w:separator/>
      </w:r>
    </w:p>
  </w:endnote>
  <w:endnote w:type="continuationSeparator" w:id="0">
    <w:p w14:paraId="019FDCD4" w14:textId="77777777" w:rsidR="007A475B" w:rsidRDefault="007A475B">
      <w:r>
        <w:continuationSeparator/>
      </w:r>
    </w:p>
  </w:endnote>
  <w:endnote w:id="1">
    <w:p w14:paraId="019FDCDD" w14:textId="77777777" w:rsidR="0013216B" w:rsidRPr="00E63B92" w:rsidRDefault="0013216B" w:rsidP="0013216B">
      <w:pPr>
        <w:pStyle w:val="EndnoteText"/>
        <w:rPr>
          <w:lang w:val="et-EE"/>
        </w:rPr>
      </w:pPr>
      <w:r>
        <w:rPr>
          <w:rStyle w:val="EndnoteReference"/>
        </w:rPr>
        <w:endnoteRef/>
      </w:r>
      <w:r>
        <w:t xml:space="preserve"> </w:t>
      </w:r>
      <w:r>
        <w:rPr>
          <w:lang w:val="et-EE"/>
        </w:rPr>
        <w:t xml:space="preserve">Vastavalt </w:t>
      </w:r>
      <w:r w:rsidRPr="00D542B4">
        <w:rPr>
          <w:lang w:val="et-EE"/>
        </w:rPr>
        <w:t>määruse</w:t>
      </w:r>
      <w:r>
        <w:rPr>
          <w:lang w:val="et-EE"/>
        </w:rPr>
        <w:t xml:space="preserve"> </w:t>
      </w:r>
      <w:hyperlink r:id="rId1" w:history="1">
        <w:r w:rsidRPr="00D542B4">
          <w:rPr>
            <w:rStyle w:val="Hyperlink"/>
            <w:lang w:val="et-EE"/>
          </w:rPr>
          <w:t>lisa 2</w:t>
        </w:r>
      </w:hyperlink>
      <w:r>
        <w:rPr>
          <w:lang w:val="et-EE"/>
        </w:rPr>
        <w:t xml:space="preserve"> „Akadeemilise tegevuse portfoolio ülesehitus“ toodud juhistele. </w:t>
      </w:r>
      <w:r w:rsidRPr="00175643">
        <w:rPr>
          <w:lang w:val="et-EE"/>
        </w:rPr>
        <w:t>Portfoolio koosneb kolmest osast ning lisadest, mis võivad olla lisatud dokumendid või aktiivsed lingid avalikele dokumentidele või keskkondadele. Avalikult kättesaadavaid materjale lisana ei dubleerita. Portfoolio maht on tavapäraselt 4-6 lk ilma lisadeta.</w:t>
      </w:r>
    </w:p>
  </w:endnote>
  <w:endnote w:id="2">
    <w:p w14:paraId="019FDCDE" w14:textId="77777777" w:rsidR="0013216B" w:rsidRPr="00D542B4" w:rsidRDefault="0013216B" w:rsidP="0013216B">
      <w:pPr>
        <w:pStyle w:val="EndnoteText"/>
        <w:rPr>
          <w:lang w:val="et-EE"/>
        </w:rPr>
      </w:pPr>
      <w:r>
        <w:rPr>
          <w:rStyle w:val="EndnoteReference"/>
        </w:rPr>
        <w:endnoteRef/>
      </w:r>
      <w:r>
        <w:t xml:space="preserve"> </w:t>
      </w:r>
      <w:r>
        <w:rPr>
          <w:lang w:val="et-EE"/>
        </w:rPr>
        <w:t xml:space="preserve">Määruse </w:t>
      </w:r>
      <w:hyperlink r:id="rId2" w:history="1">
        <w:r w:rsidRPr="00D542B4">
          <w:rPr>
            <w:rStyle w:val="Hyperlink"/>
            <w:lang w:val="et-EE"/>
          </w:rPr>
          <w:t>lisa 3</w:t>
        </w:r>
      </w:hyperlink>
      <w:r>
        <w:rPr>
          <w:lang w:val="et-EE"/>
        </w:rPr>
        <w:t xml:space="preserve"> „Akadeemilise hindamise maatriks“. </w:t>
      </w:r>
    </w:p>
  </w:endnote>
  <w:endnote w:id="3">
    <w:p w14:paraId="019FDCDF" w14:textId="77777777" w:rsidR="0013216B" w:rsidRPr="00253AA5" w:rsidRDefault="0013216B" w:rsidP="0013216B">
      <w:pPr>
        <w:pStyle w:val="EndnoteText"/>
        <w:rPr>
          <w:lang w:val="et-EE"/>
        </w:rPr>
      </w:pPr>
      <w:r>
        <w:rPr>
          <w:rStyle w:val="EndnoteReference"/>
        </w:rPr>
        <w:endnoteRef/>
      </w:r>
      <w:r>
        <w:t xml:space="preserve"> </w:t>
      </w:r>
      <w:r>
        <w:rPr>
          <w:lang w:val="et-EE"/>
        </w:rPr>
        <w:t xml:space="preserve">Pikkus kuni 1500 sõna.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FDCDB" w14:textId="77777777" w:rsidR="00AE25FE" w:rsidRDefault="006D0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9FDCDC" w14:textId="77777777" w:rsidR="00AE25FE" w:rsidRDefault="00F60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FDCD1" w14:textId="77777777" w:rsidR="007A475B" w:rsidRDefault="007A475B">
      <w:r>
        <w:separator/>
      </w:r>
    </w:p>
  </w:footnote>
  <w:footnote w:type="continuationSeparator" w:id="0">
    <w:p w14:paraId="019FDCD2" w14:textId="77777777" w:rsidR="007A475B" w:rsidRDefault="007A4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FDCD5" w14:textId="77777777" w:rsidR="00E44CAE" w:rsidRDefault="00E44C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9FDCD6" w14:textId="77777777" w:rsidR="00E44CAE" w:rsidRDefault="00E44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233729"/>
      <w:docPartObj>
        <w:docPartGallery w:val="Page Numbers (Top of Page)"/>
        <w:docPartUnique/>
      </w:docPartObj>
    </w:sdtPr>
    <w:sdtEndPr/>
    <w:sdtContent>
      <w:p w14:paraId="019FDCD7" w14:textId="6C9045D4" w:rsidR="0098699A" w:rsidRDefault="0098699A">
        <w:pPr>
          <w:pStyle w:val="Header"/>
          <w:jc w:val="center"/>
        </w:pPr>
        <w:r>
          <w:fldChar w:fldCharType="begin"/>
        </w:r>
        <w:r>
          <w:instrText>PAGE   \* MERGEFORMAT</w:instrText>
        </w:r>
        <w:r>
          <w:fldChar w:fldCharType="separate"/>
        </w:r>
        <w:r w:rsidR="00F60695">
          <w:rPr>
            <w:noProof/>
          </w:rPr>
          <w:t>3</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FDCD8" w14:textId="77777777" w:rsidR="00AE25FE" w:rsidRDefault="006D07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9FDCD9" w14:textId="77777777" w:rsidR="00AE25FE" w:rsidRDefault="00F606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718336"/>
      <w:docPartObj>
        <w:docPartGallery w:val="Page Numbers (Top of Page)"/>
        <w:docPartUnique/>
      </w:docPartObj>
    </w:sdtPr>
    <w:sdtEndPr/>
    <w:sdtContent>
      <w:p w14:paraId="019FDCDA" w14:textId="7D0C8FB4" w:rsidR="0098699A" w:rsidRDefault="0098699A">
        <w:pPr>
          <w:pStyle w:val="Header"/>
          <w:jc w:val="center"/>
        </w:pPr>
        <w:r>
          <w:fldChar w:fldCharType="begin"/>
        </w:r>
        <w:r>
          <w:instrText>PAGE   \* MERGEFORMAT</w:instrText>
        </w:r>
        <w:r>
          <w:fldChar w:fldCharType="separate"/>
        </w:r>
        <w:r w:rsidR="00F60695">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E040D31"/>
    <w:multiLevelType w:val="multilevel"/>
    <w:tmpl w:val="49141AD8"/>
    <w:lvl w:ilvl="0">
      <w:start w:val="1"/>
      <w:numFmt w:val="decimal"/>
      <w:suff w:val="space"/>
      <w:lvlText w:val="§ %1. "/>
      <w:lvlJc w:val="left"/>
      <w:pPr>
        <w:ind w:left="568" w:firstLine="0"/>
      </w:pPr>
      <w:rPr>
        <w:rFonts w:hint="default"/>
        <w:b/>
        <w:i w:val="0"/>
      </w:rPr>
    </w:lvl>
    <w:lvl w:ilvl="1">
      <w:start w:val="1"/>
      <w:numFmt w:val="decimal"/>
      <w:pStyle w:val="Bodym"/>
      <w:suff w:val="space"/>
      <w:lvlText w:val="(%2)"/>
      <w:lvlJc w:val="left"/>
      <w:pPr>
        <w:ind w:left="4962" w:firstLine="0"/>
      </w:pPr>
      <w:rPr>
        <w:rFonts w:hint="default"/>
        <w:color w:val="auto"/>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00427A8"/>
    <w:multiLevelType w:val="multilevel"/>
    <w:tmpl w:val="FE32676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color w:val="auto"/>
      </w:rPr>
    </w:lvl>
    <w:lvl w:ilvl="2">
      <w:start w:val="1"/>
      <w:numFmt w:val="decimal"/>
      <w:suff w:val="space"/>
      <w:lvlText w:val="%1.%2.%3."/>
      <w:lvlJc w:val="left"/>
      <w:pPr>
        <w:ind w:left="0" w:firstLine="0"/>
      </w:pPr>
      <w:rPr>
        <w:rFonts w:hint="default"/>
        <w:color w:val="auto"/>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412027A1"/>
    <w:multiLevelType w:val="multilevel"/>
    <w:tmpl w:val="36B04610"/>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35274B8"/>
    <w:multiLevelType w:val="multilevel"/>
    <w:tmpl w:val="A152323A"/>
    <w:lvl w:ilvl="0">
      <w:start w:val="1"/>
      <w:numFmt w:val="decimal"/>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62E07D99"/>
    <w:multiLevelType w:val="multilevel"/>
    <w:tmpl w:val="218E9BF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7"/>
  </w:num>
  <w:num w:numId="3">
    <w:abstractNumId w:val="0"/>
  </w:num>
  <w:num w:numId="4">
    <w:abstractNumId w:val="4"/>
  </w:num>
  <w:num w:numId="5">
    <w:abstractNumId w:val="3"/>
  </w:num>
  <w:num w:numId="6">
    <w:abstractNumId w:val="3"/>
    <w:lvlOverride w:ilvl="0">
      <w:lvl w:ilvl="0">
        <w:start w:val="1"/>
        <w:numFmt w:val="decimal"/>
        <w:pStyle w:val="Lisatekst"/>
        <w:suff w:val="space"/>
        <w:lvlText w:val="%1."/>
        <w:lvlJc w:val="left"/>
        <w:pPr>
          <w:ind w:left="0" w:firstLine="0"/>
        </w:pPr>
        <w:rPr>
          <w:rFonts w:hint="default"/>
        </w:rPr>
      </w:lvl>
    </w:lvlOverride>
    <w:lvlOverride w:ilvl="1">
      <w:lvl w:ilvl="1">
        <w:start w:val="1"/>
        <w:numFmt w:val="decimal"/>
        <w:pStyle w:val="LisaBodyt"/>
        <w:suff w:val="space"/>
        <w:lvlText w:val="%1.%2"/>
        <w:lvlJc w:val="left"/>
        <w:pPr>
          <w:ind w:left="0" w:firstLine="0"/>
        </w:pPr>
        <w:rPr>
          <w:rFonts w:hint="default"/>
        </w:rPr>
      </w:lvl>
    </w:lvlOverride>
    <w:lvlOverride w:ilvl="2">
      <w:lvl w:ilvl="2">
        <w:start w:val="1"/>
        <w:numFmt w:val="decimal"/>
        <w:pStyle w:val="LisaBodyt2"/>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decimal"/>
        <w:suff w:val="space"/>
        <w:lvlText w:val="%1.%2.%3.%4.%5.%6"/>
        <w:lvlJc w:val="left"/>
        <w:pPr>
          <w:ind w:left="0" w:firstLine="0"/>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
    <w:abstractNumId w:val="5"/>
  </w:num>
  <w:num w:numId="8">
    <w:abstractNumId w:val="1"/>
  </w:num>
  <w:num w:numId="9">
    <w:abstractNumId w:val="1"/>
  </w:num>
  <w:num w:numId="10">
    <w:abstractNumId w:val="4"/>
  </w:num>
  <w:num w:numId="11">
    <w:abstractNumId w:val="4"/>
  </w:num>
  <w:num w:numId="12">
    <w:abstractNumId w:val="4"/>
  </w:num>
  <w:num w:numId="13">
    <w:abstractNumId w:val="2"/>
  </w:num>
  <w:num w:numId="14">
    <w:abstractNumId w:val="2"/>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0"/>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2"/>
    <w:lvlOverride w:ilvl="0">
      <w:lvl w:ilvl="0">
        <w:start w:val="1"/>
        <w:numFmt w:val="decimal"/>
        <w:suff w:val="space"/>
        <w:lvlText w:val="%1."/>
        <w:lvlJc w:val="left"/>
        <w:pPr>
          <w:ind w:left="0" w:firstLine="0"/>
        </w:pPr>
        <w:rPr>
          <w:rFonts w:hint="default"/>
        </w:rPr>
      </w:lvl>
    </w:lvlOverride>
    <w:lvlOverride w:ilvl="1">
      <w:lvl w:ilvl="1">
        <w:start w:val="1"/>
        <w:numFmt w:val="decimal"/>
        <w:lvlText w:val="%1.%2."/>
        <w:lvlJc w:val="left"/>
        <w:pPr>
          <w:ind w:left="43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2"/>
    <w:lvlOverride w:ilvl="0">
      <w:lvl w:ilvl="0">
        <w:start w:val="1"/>
        <w:numFmt w:val="decimal"/>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7">
    <w:abstractNumId w:val="2"/>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16385"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75B"/>
    <w:rsid w:val="00005AB4"/>
    <w:rsid w:val="00020028"/>
    <w:rsid w:val="0003207A"/>
    <w:rsid w:val="00065EA5"/>
    <w:rsid w:val="0013216B"/>
    <w:rsid w:val="0015159C"/>
    <w:rsid w:val="00174FF5"/>
    <w:rsid w:val="00181FE5"/>
    <w:rsid w:val="00186FC2"/>
    <w:rsid w:val="00191C92"/>
    <w:rsid w:val="001959E3"/>
    <w:rsid w:val="001A48DE"/>
    <w:rsid w:val="001C72DD"/>
    <w:rsid w:val="001D0954"/>
    <w:rsid w:val="0020707E"/>
    <w:rsid w:val="00216D52"/>
    <w:rsid w:val="00223C38"/>
    <w:rsid w:val="00224DE4"/>
    <w:rsid w:val="00263DEF"/>
    <w:rsid w:val="0026472F"/>
    <w:rsid w:val="00266E9B"/>
    <w:rsid w:val="002710B9"/>
    <w:rsid w:val="002866F6"/>
    <w:rsid w:val="00292D3B"/>
    <w:rsid w:val="00296B12"/>
    <w:rsid w:val="002A621F"/>
    <w:rsid w:val="002C2453"/>
    <w:rsid w:val="002D4DAE"/>
    <w:rsid w:val="002E42B7"/>
    <w:rsid w:val="002F4CFD"/>
    <w:rsid w:val="003111FD"/>
    <w:rsid w:val="00316C91"/>
    <w:rsid w:val="0032275A"/>
    <w:rsid w:val="003534D4"/>
    <w:rsid w:val="003E3BF3"/>
    <w:rsid w:val="003E47C5"/>
    <w:rsid w:val="00446029"/>
    <w:rsid w:val="004849B4"/>
    <w:rsid w:val="00490791"/>
    <w:rsid w:val="00494601"/>
    <w:rsid w:val="004A7ED8"/>
    <w:rsid w:val="004B2413"/>
    <w:rsid w:val="004C4600"/>
    <w:rsid w:val="004D5FCA"/>
    <w:rsid w:val="004F6479"/>
    <w:rsid w:val="005078D2"/>
    <w:rsid w:val="00516127"/>
    <w:rsid w:val="005226E5"/>
    <w:rsid w:val="00581B1E"/>
    <w:rsid w:val="005916D1"/>
    <w:rsid w:val="00594466"/>
    <w:rsid w:val="005C7E55"/>
    <w:rsid w:val="00601459"/>
    <w:rsid w:val="00612761"/>
    <w:rsid w:val="00652A11"/>
    <w:rsid w:val="00675987"/>
    <w:rsid w:val="006D07D8"/>
    <w:rsid w:val="007402B4"/>
    <w:rsid w:val="00775D7B"/>
    <w:rsid w:val="007812FC"/>
    <w:rsid w:val="00791697"/>
    <w:rsid w:val="00795AF6"/>
    <w:rsid w:val="007A475B"/>
    <w:rsid w:val="007A4F68"/>
    <w:rsid w:val="007B183B"/>
    <w:rsid w:val="00821FA5"/>
    <w:rsid w:val="00844750"/>
    <w:rsid w:val="00852116"/>
    <w:rsid w:val="00890DF3"/>
    <w:rsid w:val="008B6D49"/>
    <w:rsid w:val="008C3AB8"/>
    <w:rsid w:val="008C79F9"/>
    <w:rsid w:val="008D2DCA"/>
    <w:rsid w:val="008F28A4"/>
    <w:rsid w:val="00913C19"/>
    <w:rsid w:val="00930C7C"/>
    <w:rsid w:val="009505B7"/>
    <w:rsid w:val="0097641D"/>
    <w:rsid w:val="0098699A"/>
    <w:rsid w:val="009B5254"/>
    <w:rsid w:val="009D638A"/>
    <w:rsid w:val="009F71F0"/>
    <w:rsid w:val="00A133B9"/>
    <w:rsid w:val="00A51164"/>
    <w:rsid w:val="00A6532D"/>
    <w:rsid w:val="00A66EC1"/>
    <w:rsid w:val="00A80EC2"/>
    <w:rsid w:val="00A9217A"/>
    <w:rsid w:val="00AB7B24"/>
    <w:rsid w:val="00B1592C"/>
    <w:rsid w:val="00B3445F"/>
    <w:rsid w:val="00B4405D"/>
    <w:rsid w:val="00B516F0"/>
    <w:rsid w:val="00B71485"/>
    <w:rsid w:val="00B8376F"/>
    <w:rsid w:val="00B85859"/>
    <w:rsid w:val="00BA5708"/>
    <w:rsid w:val="00BA5FA8"/>
    <w:rsid w:val="00BB38D5"/>
    <w:rsid w:val="00BB7B8E"/>
    <w:rsid w:val="00C06D7B"/>
    <w:rsid w:val="00C3154A"/>
    <w:rsid w:val="00C47413"/>
    <w:rsid w:val="00C55AEF"/>
    <w:rsid w:val="00C665D7"/>
    <w:rsid w:val="00C720C2"/>
    <w:rsid w:val="00C82D40"/>
    <w:rsid w:val="00CB492A"/>
    <w:rsid w:val="00CC001A"/>
    <w:rsid w:val="00CC2AFF"/>
    <w:rsid w:val="00CF4B4B"/>
    <w:rsid w:val="00CF503E"/>
    <w:rsid w:val="00D17E69"/>
    <w:rsid w:val="00D24662"/>
    <w:rsid w:val="00D43664"/>
    <w:rsid w:val="00E359AA"/>
    <w:rsid w:val="00E44CAE"/>
    <w:rsid w:val="00E51D5F"/>
    <w:rsid w:val="00E7551A"/>
    <w:rsid w:val="00E94E83"/>
    <w:rsid w:val="00EA7DD5"/>
    <w:rsid w:val="00EB24EF"/>
    <w:rsid w:val="00ED183F"/>
    <w:rsid w:val="00EE150D"/>
    <w:rsid w:val="00F46FA9"/>
    <w:rsid w:val="00F60695"/>
    <w:rsid w:val="00F67FE3"/>
    <w:rsid w:val="00F73D33"/>
    <w:rsid w:val="00F74BFC"/>
    <w:rsid w:val="00FA39DC"/>
    <w:rsid w:val="00FC794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0"/>
    </o:shapedefaults>
    <o:shapelayout v:ext="edit">
      <o:idmap v:ext="edit" data="1"/>
    </o:shapelayout>
  </w:shapeDefaults>
  <w:decimalSymbol w:val=","/>
  <w:listSeparator w:val=";"/>
  <w14:docId w14:val="019FDC49"/>
  <w15:docId w15:val="{C392569F-E4C3-44EB-8302-7DEF2476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9AA"/>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sid w:val="00E359AA"/>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rsid w:val="003E3BF3"/>
    <w:pPr>
      <w:spacing w:before="120"/>
    </w:pPr>
  </w:style>
  <w:style w:type="paragraph" w:customStyle="1" w:styleId="Bodyt">
    <w:name w:val="Bodyt"/>
    <w:basedOn w:val="Normal"/>
    <w:rsid w:val="00E359AA"/>
    <w:pPr>
      <w:numPr>
        <w:ilvl w:val="1"/>
        <w:numId w:val="12"/>
      </w:numPr>
    </w:pPr>
    <w:rPr>
      <w:rFonts w:eastAsiaTheme="minorHAnsi"/>
      <w:szCs w:val="22"/>
    </w:rPr>
  </w:style>
  <w:style w:type="paragraph" w:customStyle="1" w:styleId="Pealkiri">
    <w:name w:val="Pealkiri"/>
    <w:basedOn w:val="BodyText"/>
    <w:next w:val="BodyText"/>
    <w:qFormat/>
    <w:rsid w:val="008C79F9"/>
    <w:pPr>
      <w:spacing w:before="960" w:after="600"/>
      <w:ind w:right="5103"/>
    </w:pPr>
  </w:style>
  <w:style w:type="paragraph" w:customStyle="1" w:styleId="Tallinn">
    <w:name w:val="Tallinn"/>
    <w:basedOn w:val="Normal"/>
    <w:next w:val="BodyText"/>
    <w:qFormat/>
    <w:rsid w:val="00E359AA"/>
    <w:pPr>
      <w:spacing w:before="80" w:after="120"/>
    </w:pPr>
  </w:style>
  <w:style w:type="paragraph" w:customStyle="1" w:styleId="Tekst">
    <w:name w:val="Tekst"/>
    <w:basedOn w:val="BodyText"/>
    <w:rsid w:val="00E7551A"/>
  </w:style>
  <w:style w:type="paragraph" w:customStyle="1" w:styleId="Allkirjastajanimi">
    <w:name w:val="Allkirjastaja nimi"/>
    <w:basedOn w:val="Normal"/>
    <w:next w:val="Normal"/>
    <w:qFormat/>
    <w:rsid w:val="00E359AA"/>
  </w:style>
  <w:style w:type="paragraph" w:customStyle="1" w:styleId="Lisatekst">
    <w:name w:val="Lisatekst"/>
    <w:basedOn w:val="BodyText"/>
    <w:rsid w:val="00065EA5"/>
    <w:pPr>
      <w:keepNext/>
      <w:keepLines/>
      <w:numPr>
        <w:numId w:val="5"/>
      </w:numPr>
      <w:tabs>
        <w:tab w:val="left" w:pos="6521"/>
      </w:tabs>
      <w:spacing w:before="120"/>
    </w:pPr>
  </w:style>
  <w:style w:type="paragraph" w:customStyle="1" w:styleId="Body">
    <w:name w:val="Body"/>
    <w:basedOn w:val="Normal"/>
    <w:rsid w:val="00E359AA"/>
    <w:pPr>
      <w:tabs>
        <w:tab w:val="left" w:pos="6521"/>
      </w:tabs>
      <w:jc w:val="both"/>
    </w:pPr>
  </w:style>
  <w:style w:type="paragraph" w:customStyle="1" w:styleId="Lisapealkiri">
    <w:name w:val="Lisapealkiri"/>
    <w:basedOn w:val="BodyText"/>
    <w:next w:val="BodyText"/>
    <w:qFormat/>
    <w:rsid w:val="006D07D8"/>
    <w:pPr>
      <w:tabs>
        <w:tab w:val="left" w:pos="6521"/>
      </w:tabs>
      <w:spacing w:before="280" w:after="280"/>
    </w:pPr>
    <w:rPr>
      <w:b/>
    </w:rPr>
  </w:style>
  <w:style w:type="paragraph" w:customStyle="1" w:styleId="LisaBodyt">
    <w:name w:val="LisaBodyt"/>
    <w:basedOn w:val="Bodyt"/>
    <w:qFormat/>
    <w:rsid w:val="00065EA5"/>
    <w:pPr>
      <w:numPr>
        <w:numId w:val="5"/>
      </w:numPr>
      <w:spacing w:before="80"/>
    </w:pPr>
  </w:style>
  <w:style w:type="paragraph" w:customStyle="1" w:styleId="LisaBodyt2">
    <w:name w:val="LisaBodyt2"/>
    <w:basedOn w:val="LisaBodyt"/>
    <w:qFormat/>
    <w:rsid w:val="00065EA5"/>
    <w:pPr>
      <w:numPr>
        <w:ilvl w:val="2"/>
      </w:numPr>
      <w:spacing w:before="0"/>
    </w:pPr>
  </w:style>
  <w:style w:type="paragraph" w:customStyle="1" w:styleId="BodyR">
    <w:name w:val="BodyR"/>
    <w:basedOn w:val="Body"/>
    <w:qFormat/>
    <w:rsid w:val="00890DF3"/>
    <w:pPr>
      <w:jc w:val="right"/>
    </w:pPr>
  </w:style>
  <w:style w:type="paragraph" w:customStyle="1" w:styleId="BodyTextLisa">
    <w:name w:val="Body Text Lisa"/>
    <w:basedOn w:val="BodyText"/>
    <w:qFormat/>
    <w:rsid w:val="00446029"/>
    <w:pPr>
      <w:spacing w:before="120"/>
    </w:pPr>
  </w:style>
  <w:style w:type="paragraph" w:customStyle="1" w:styleId="Allkirjastatuddigit">
    <w:name w:val="Allkirjastatud digit"/>
    <w:basedOn w:val="Normal"/>
    <w:qFormat/>
    <w:rsid w:val="00E359AA"/>
    <w:pPr>
      <w:spacing w:before="480" w:after="120"/>
    </w:pPr>
  </w:style>
  <w:style w:type="paragraph" w:customStyle="1" w:styleId="Bodyt1">
    <w:name w:val="Bodyt1"/>
    <w:basedOn w:val="Bodyt"/>
    <w:qFormat/>
    <w:rsid w:val="00E359AA"/>
    <w:pPr>
      <w:numPr>
        <w:ilvl w:val="2"/>
      </w:numPr>
    </w:pPr>
  </w:style>
  <w:style w:type="character" w:customStyle="1" w:styleId="BodyTextChar">
    <w:name w:val="Body Text Char"/>
    <w:basedOn w:val="DefaultParagraphFont"/>
    <w:link w:val="BodyText"/>
    <w:rsid w:val="00E359AA"/>
    <w:rPr>
      <w:rFonts w:ascii="Calibri" w:hAnsi="Calibri"/>
      <w:sz w:val="22"/>
      <w:lang w:eastAsia="en-US"/>
    </w:rPr>
  </w:style>
  <w:style w:type="paragraph" w:customStyle="1" w:styleId="Bodyl">
    <w:name w:val="Bodyl"/>
    <w:basedOn w:val="Normal"/>
    <w:rsid w:val="00E359AA"/>
    <w:pPr>
      <w:jc w:val="right"/>
    </w:pPr>
  </w:style>
  <w:style w:type="paragraph" w:customStyle="1" w:styleId="Bodylisam">
    <w:name w:val="Bodylisam"/>
    <w:basedOn w:val="Normal"/>
    <w:rsid w:val="00E359AA"/>
    <w:pPr>
      <w:spacing w:before="120"/>
    </w:pPr>
  </w:style>
  <w:style w:type="paragraph" w:customStyle="1" w:styleId="Bodym">
    <w:name w:val="Bodym"/>
    <w:basedOn w:val="Normal"/>
    <w:rsid w:val="00E359AA"/>
    <w:pPr>
      <w:numPr>
        <w:ilvl w:val="1"/>
        <w:numId w:val="9"/>
      </w:numPr>
      <w:spacing w:before="80"/>
    </w:pPr>
  </w:style>
  <w:style w:type="paragraph" w:customStyle="1" w:styleId="Bodym1">
    <w:name w:val="Bodym1"/>
    <w:basedOn w:val="Bodym"/>
    <w:rsid w:val="00E359AA"/>
    <w:pPr>
      <w:numPr>
        <w:ilvl w:val="2"/>
      </w:numPr>
      <w:spacing w:before="0"/>
    </w:pPr>
  </w:style>
  <w:style w:type="paragraph" w:customStyle="1" w:styleId="Pealk1">
    <w:name w:val="Pealk1"/>
    <w:basedOn w:val="BodyText"/>
    <w:next w:val="BodyText"/>
    <w:qFormat/>
    <w:rsid w:val="00E359AA"/>
    <w:pPr>
      <w:keepNext/>
      <w:tabs>
        <w:tab w:val="left" w:pos="6521"/>
      </w:tabs>
      <w:spacing w:before="400"/>
    </w:pPr>
    <w:rPr>
      <w:b/>
    </w:rPr>
  </w:style>
  <w:style w:type="character" w:customStyle="1" w:styleId="HeaderChar">
    <w:name w:val="Header Char"/>
    <w:basedOn w:val="DefaultParagraphFont"/>
    <w:link w:val="Header"/>
    <w:uiPriority w:val="99"/>
    <w:rsid w:val="0098699A"/>
    <w:rPr>
      <w:rFonts w:ascii="Calibri" w:hAnsi="Calibri"/>
      <w:sz w:val="22"/>
      <w:lang w:eastAsia="en-US"/>
    </w:rPr>
  </w:style>
  <w:style w:type="paragraph" w:styleId="ListParagraph">
    <w:name w:val="List Paragraph"/>
    <w:basedOn w:val="Normal"/>
    <w:uiPriority w:val="34"/>
    <w:qFormat/>
    <w:rsid w:val="0013216B"/>
    <w:pPr>
      <w:spacing w:after="160" w:line="259" w:lineRule="auto"/>
      <w:ind w:left="720"/>
      <w:contextualSpacing/>
    </w:pPr>
    <w:rPr>
      <w:rFonts w:asciiTheme="minorHAnsi" w:eastAsiaTheme="minorHAnsi" w:hAnsiTheme="minorHAnsi" w:cstheme="minorBidi"/>
      <w:szCs w:val="22"/>
      <w:lang w:val="en-GB" w:eastAsia="en-US"/>
    </w:rPr>
  </w:style>
  <w:style w:type="character" w:styleId="Hyperlink">
    <w:name w:val="Hyperlink"/>
    <w:basedOn w:val="DefaultParagraphFont"/>
    <w:uiPriority w:val="99"/>
    <w:unhideWhenUsed/>
    <w:rsid w:val="0013216B"/>
    <w:rPr>
      <w:color w:val="0563C1" w:themeColor="hyperlink"/>
      <w:u w:val="single"/>
    </w:rPr>
  </w:style>
  <w:style w:type="character" w:styleId="PlaceholderText">
    <w:name w:val="Placeholder Text"/>
    <w:basedOn w:val="DefaultParagraphFont"/>
    <w:uiPriority w:val="99"/>
    <w:semiHidden/>
    <w:rsid w:val="0013216B"/>
    <w:rPr>
      <w:color w:val="808080"/>
    </w:rPr>
  </w:style>
  <w:style w:type="paragraph" w:styleId="EndnoteText">
    <w:name w:val="endnote text"/>
    <w:basedOn w:val="Normal"/>
    <w:link w:val="EndnoteTextChar"/>
    <w:uiPriority w:val="99"/>
    <w:semiHidden/>
    <w:unhideWhenUsed/>
    <w:rsid w:val="0013216B"/>
    <w:rPr>
      <w:rFonts w:asciiTheme="minorHAnsi" w:eastAsiaTheme="minorHAnsi" w:hAnsiTheme="minorHAnsi" w:cstheme="minorBidi"/>
      <w:sz w:val="20"/>
      <w:lang w:val="en-GB" w:eastAsia="en-US"/>
    </w:rPr>
  </w:style>
  <w:style w:type="character" w:customStyle="1" w:styleId="EndnoteTextChar">
    <w:name w:val="Endnote Text Char"/>
    <w:basedOn w:val="DefaultParagraphFont"/>
    <w:link w:val="EndnoteText"/>
    <w:uiPriority w:val="99"/>
    <w:semiHidden/>
    <w:rsid w:val="0013216B"/>
    <w:rPr>
      <w:rFonts w:asciiTheme="minorHAnsi" w:eastAsiaTheme="minorHAnsi" w:hAnsiTheme="minorHAnsi" w:cstheme="minorBidi"/>
      <w:sz w:val="20"/>
      <w:lang w:val="en-GB" w:eastAsia="en-US"/>
    </w:rPr>
  </w:style>
  <w:style w:type="character" w:styleId="EndnoteReference">
    <w:name w:val="endnote reference"/>
    <w:basedOn w:val="DefaultParagraphFont"/>
    <w:uiPriority w:val="99"/>
    <w:semiHidden/>
    <w:unhideWhenUsed/>
    <w:rsid w:val="0013216B"/>
    <w:rPr>
      <w:vertAlign w:val="superscript"/>
    </w:rPr>
  </w:style>
  <w:style w:type="table" w:styleId="TableGrid">
    <w:name w:val="Table Grid"/>
    <w:basedOn w:val="TableNormal"/>
    <w:uiPriority w:val="39"/>
    <w:rsid w:val="0013216B"/>
    <w:rPr>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personal@taltech.ee" TargetMode="External"/><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2" Type="http://schemas.openxmlformats.org/officeDocument/2006/relationships/hyperlink" Target="https://oigusaktid.taltech.ee/wp-content/uploads/2021/05/TT_Akadeemilise_karjaari_korraldus_lisa3_tabel1.pdf" TargetMode="External"/><Relationship Id="rId1" Type="http://schemas.openxmlformats.org/officeDocument/2006/relationships/hyperlink" Target="https://oigusaktid.taltech.ee/akadeemilise-karjaari-korrald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946349BE7E49F0995E4A3E2A489FF5"/>
        <w:category>
          <w:name w:val="General"/>
          <w:gallery w:val="placeholder"/>
        </w:category>
        <w:types>
          <w:type w:val="bbPlcHdr"/>
        </w:types>
        <w:behaviors>
          <w:behavior w:val="content"/>
        </w:behaviors>
        <w:guid w:val="{706F5B09-6787-406C-9943-D48FE46AF831}"/>
      </w:docPartPr>
      <w:docPartBody>
        <w:p w:rsidR="00D44C22" w:rsidRDefault="003F77BC" w:rsidP="003F77BC">
          <w:pPr>
            <w:pStyle w:val="E3946349BE7E49F0995E4A3E2A489FF5"/>
          </w:pPr>
          <w:r w:rsidRPr="00D14F44">
            <w:rPr>
              <w:rStyle w:val="PlaceholderText"/>
            </w:rPr>
            <w:t>Choose an item.</w:t>
          </w:r>
        </w:p>
      </w:docPartBody>
    </w:docPart>
    <w:docPart>
      <w:docPartPr>
        <w:name w:val="468853444E734DD5BAD83B17E4652592"/>
        <w:category>
          <w:name w:val="General"/>
          <w:gallery w:val="placeholder"/>
        </w:category>
        <w:types>
          <w:type w:val="bbPlcHdr"/>
        </w:types>
        <w:behaviors>
          <w:behavior w:val="content"/>
        </w:behaviors>
        <w:guid w:val="{B1650B6E-F163-4C4E-8D1E-AE5131E5D04C}"/>
      </w:docPartPr>
      <w:docPartBody>
        <w:p w:rsidR="00D44C22" w:rsidRDefault="003F77BC" w:rsidP="003F77BC">
          <w:pPr>
            <w:pStyle w:val="468853444E734DD5BAD83B17E4652592"/>
          </w:pPr>
          <w:r>
            <w:rPr>
              <w:rStyle w:val="PlaceholderText"/>
            </w:rPr>
            <w:t>sisesta nimi  ja ametikoht</w:t>
          </w:r>
          <w:r w:rsidRPr="00D14F44">
            <w:rPr>
              <w:rStyle w:val="PlaceholderText"/>
            </w:rPr>
            <w:t>.</w:t>
          </w:r>
        </w:p>
      </w:docPartBody>
    </w:docPart>
    <w:docPart>
      <w:docPartPr>
        <w:name w:val="CE32CB5A8E75455F97FE5C28F50311DF"/>
        <w:category>
          <w:name w:val="General"/>
          <w:gallery w:val="placeholder"/>
        </w:category>
        <w:types>
          <w:type w:val="bbPlcHdr"/>
        </w:types>
        <w:behaviors>
          <w:behavior w:val="content"/>
        </w:behaviors>
        <w:guid w:val="{06D9D1F4-F924-4679-BFAF-FECC95540FA2}"/>
      </w:docPartPr>
      <w:docPartBody>
        <w:p w:rsidR="00D44C22" w:rsidRDefault="003F77BC" w:rsidP="003F77BC">
          <w:pPr>
            <w:pStyle w:val="CE32CB5A8E75455F97FE5C28F50311DF"/>
          </w:pPr>
          <w:r w:rsidRPr="00D14F4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7BC"/>
    <w:rsid w:val="003F77BC"/>
    <w:rsid w:val="00D44C2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77BC"/>
    <w:rPr>
      <w:color w:val="808080"/>
    </w:rPr>
  </w:style>
  <w:style w:type="paragraph" w:customStyle="1" w:styleId="E3946349BE7E49F0995E4A3E2A489FF5">
    <w:name w:val="E3946349BE7E49F0995E4A3E2A489FF5"/>
    <w:rsid w:val="003F77BC"/>
  </w:style>
  <w:style w:type="paragraph" w:customStyle="1" w:styleId="468853444E734DD5BAD83B17E4652592">
    <w:name w:val="468853444E734DD5BAD83B17E4652592"/>
    <w:rsid w:val="003F77BC"/>
  </w:style>
  <w:style w:type="paragraph" w:customStyle="1" w:styleId="CE32CB5A8E75455F97FE5C28F50311DF">
    <w:name w:val="CE32CB5A8E75455F97FE5C28F50311DF"/>
    <w:rsid w:val="003F77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1259</Words>
  <Characters>10411</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Anu Orula</dc:creator>
  <cp:keywords/>
  <dc:description/>
  <cp:lastModifiedBy>Kairi Schütz</cp:lastModifiedBy>
  <cp:revision>4</cp:revision>
  <cp:lastPrinted>2002-08-26T08:36:00Z</cp:lastPrinted>
  <dcterms:created xsi:type="dcterms:W3CDTF">2021-08-31T12:00:00Z</dcterms:created>
  <dcterms:modified xsi:type="dcterms:W3CDTF">2021-09-02T06:48:00Z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{kirjeldus}</vt:lpwstr>
  </property>
  <property fmtid="{D5CDD505-2E9C-101B-9397-08002B2CF9AE}" pid="10" name="delta_accessRestrictionReason">
    <vt:lpwstr>{JP alus}</vt:lpwstr>
  </property>
</Properties>
</file>