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CC32E" w14:textId="77777777" w:rsidR="006829B3" w:rsidRDefault="00FB47BA" w:rsidP="006829B3">
      <w:pPr>
        <w:pStyle w:val="BodyR"/>
      </w:pPr>
      <w:r>
        <w:t>ALGTEKST-TERVIKTEKST</w:t>
      </w:r>
    </w:p>
    <w:p w14:paraId="68CC70ED" w14:textId="72B945CD" w:rsidR="00913C19" w:rsidRDefault="00292D3B" w:rsidP="006829B3">
      <w:pPr>
        <w:pStyle w:val="BodyR"/>
        <w:jc w:val="both"/>
      </w:pPr>
      <w:r w:rsidRPr="001C72DD">
        <w:t>K</w:t>
      </w:r>
      <w:r w:rsidR="006829B3">
        <w:t xml:space="preserve">innitatud </w:t>
      </w:r>
      <w:r w:rsidRPr="001C72DD">
        <w:t xml:space="preserve">rektori </w:t>
      </w:r>
      <w:r w:rsidR="00B516F0">
        <w:fldChar w:fldCharType="begin"/>
      </w:r>
      <w:r w:rsidR="0060437E">
        <w:instrText xml:space="preserve"> delta_regDateTime</w:instrText>
      </w:r>
      <w:r w:rsidR="00B516F0">
        <w:fldChar w:fldCharType="separate"/>
      </w:r>
      <w:r w:rsidR="0060437E">
        <w:t>22.10.2024</w:t>
      </w:r>
      <w:r w:rsidR="00B516F0">
        <w:fldChar w:fldCharType="end"/>
      </w:r>
      <w:r w:rsidR="006829B3">
        <w:t xml:space="preserve"> </w:t>
      </w:r>
      <w:r w:rsidRPr="001C72DD">
        <w:t xml:space="preserve">käskkirjaga nr </w:t>
      </w:r>
      <w:r w:rsidR="006829B3">
        <w:t>40</w:t>
      </w:r>
    </w:p>
    <w:p w14:paraId="640FFF38" w14:textId="48B7AE67" w:rsidR="009F2BCB" w:rsidRPr="00AE0565" w:rsidRDefault="009F2BCB" w:rsidP="009F2BCB">
      <w:pPr>
        <w:spacing w:before="120"/>
        <w:rPr>
          <w:rFonts w:asciiTheme="minorHAnsi" w:hAnsiTheme="minorHAnsi"/>
          <w:szCs w:val="22"/>
        </w:rPr>
      </w:pPr>
      <w:r w:rsidRPr="00AE0565">
        <w:rPr>
          <w:rFonts w:asciiTheme="minorHAnsi" w:hAnsiTheme="minorHAnsi"/>
          <w:bCs/>
          <w:szCs w:val="22"/>
        </w:rPr>
        <w:t>Redaktsiooni jõustumise kuupäev:</w:t>
      </w:r>
      <w:r w:rsidR="005135F2">
        <w:rPr>
          <w:rFonts w:asciiTheme="minorHAnsi" w:hAnsiTheme="minorHAnsi"/>
          <w:bCs/>
          <w:szCs w:val="22"/>
        </w:rPr>
        <w:t xml:space="preserve"> </w:t>
      </w:r>
      <w:r>
        <w:rPr>
          <w:rFonts w:asciiTheme="minorHAnsi" w:hAnsiTheme="minorHAnsi"/>
          <w:bCs/>
          <w:szCs w:val="22"/>
        </w:rPr>
        <w:t>22.</w:t>
      </w:r>
      <w:r w:rsidRPr="009F2BCB">
        <w:rPr>
          <w:rFonts w:asciiTheme="minorHAnsi" w:hAnsiTheme="minorHAnsi"/>
          <w:szCs w:val="22"/>
        </w:rPr>
        <w:t>10.2024</w:t>
      </w:r>
    </w:p>
    <w:p w14:paraId="4F329F24" w14:textId="77777777" w:rsidR="009F2BCB" w:rsidRDefault="009F2BCB" w:rsidP="006829B3">
      <w:pPr>
        <w:pStyle w:val="BodyR"/>
        <w:jc w:val="both"/>
      </w:pPr>
    </w:p>
    <w:p w14:paraId="4B2607DD" w14:textId="77777777" w:rsidR="00913C19" w:rsidRPr="001C72DD" w:rsidRDefault="00913C19" w:rsidP="00890DF3">
      <w:pPr>
        <w:pStyle w:val="BodyR"/>
      </w:pPr>
    </w:p>
    <w:p w14:paraId="646F70B5" w14:textId="77777777" w:rsidR="005162FC" w:rsidRPr="005162FC" w:rsidRDefault="005162FC" w:rsidP="005162FC">
      <w:pPr>
        <w:pStyle w:val="BodyR"/>
        <w:jc w:val="left"/>
        <w:rPr>
          <w:b/>
        </w:rPr>
      </w:pPr>
      <w:r w:rsidRPr="005162FC">
        <w:rPr>
          <w:b/>
        </w:rPr>
        <w:t>LEPITUSMENETLUSE KORD</w:t>
      </w:r>
    </w:p>
    <w:p w14:paraId="6A777A43" w14:textId="77777777" w:rsidR="00732606" w:rsidRPr="005162FC" w:rsidRDefault="00732606" w:rsidP="005162FC">
      <w:pPr>
        <w:pStyle w:val="Lisatekst"/>
        <w:numPr>
          <w:ilvl w:val="0"/>
          <w:numId w:val="0"/>
        </w:numPr>
        <w:rPr>
          <w:bCs/>
        </w:rPr>
      </w:pPr>
    </w:p>
    <w:p w14:paraId="1564758D" w14:textId="77777777" w:rsidR="00732606" w:rsidRPr="00BB5953" w:rsidRDefault="00732606" w:rsidP="00732606">
      <w:pPr>
        <w:numPr>
          <w:ilvl w:val="0"/>
          <w:numId w:val="13"/>
        </w:numPr>
        <w:spacing w:after="160" w:line="259" w:lineRule="auto"/>
        <w:contextualSpacing/>
        <w:rPr>
          <w:rFonts w:eastAsia="Calibri" w:cs="Calibri"/>
          <w:b/>
          <w:szCs w:val="22"/>
          <w:lang w:eastAsia="en-US"/>
        </w:rPr>
      </w:pPr>
      <w:r w:rsidRPr="00BB5953">
        <w:rPr>
          <w:rFonts w:eastAsia="Calibri" w:cs="Calibri"/>
          <w:b/>
          <w:szCs w:val="22"/>
          <w:lang w:eastAsia="en-US"/>
        </w:rPr>
        <w:t>ÜLDSÄTTED</w:t>
      </w:r>
    </w:p>
    <w:p w14:paraId="49FE67FB" w14:textId="77777777" w:rsidR="00732606" w:rsidRPr="00713D53" w:rsidRDefault="00732606" w:rsidP="00732606">
      <w:pPr>
        <w:numPr>
          <w:ilvl w:val="1"/>
          <w:numId w:val="14"/>
        </w:numPr>
        <w:spacing w:after="160" w:line="259" w:lineRule="auto"/>
        <w:ind w:left="426" w:hanging="426"/>
        <w:contextualSpacing/>
        <w:rPr>
          <w:rFonts w:eastAsia="Calibri" w:cs="Calibri"/>
          <w:szCs w:val="22"/>
          <w:lang w:eastAsia="en-US"/>
        </w:rPr>
      </w:pPr>
      <w:r w:rsidRPr="00713D53">
        <w:rPr>
          <w:rFonts w:eastAsia="Calibri" w:cs="Calibri"/>
          <w:szCs w:val="22"/>
          <w:lang w:eastAsia="en-US"/>
        </w:rPr>
        <w:t xml:space="preserve">Lepitusmenetluse korraga (edaspidi </w:t>
      </w:r>
      <w:r w:rsidRPr="00713D53">
        <w:rPr>
          <w:rFonts w:eastAsia="Calibri" w:cs="Calibri"/>
          <w:i/>
          <w:szCs w:val="22"/>
          <w:lang w:eastAsia="en-US"/>
        </w:rPr>
        <w:t>kord</w:t>
      </w:r>
      <w:r w:rsidRPr="00713D53">
        <w:rPr>
          <w:rFonts w:eastAsia="Calibri" w:cs="Calibri"/>
          <w:szCs w:val="22"/>
          <w:lang w:eastAsia="en-US"/>
        </w:rPr>
        <w:t xml:space="preserve">) luuakse reeglistik Tallinna Tehnikaülikooli (edaspidi </w:t>
      </w:r>
      <w:r w:rsidRPr="00713D53">
        <w:rPr>
          <w:rFonts w:eastAsia="Calibri" w:cs="Calibri"/>
          <w:i/>
          <w:szCs w:val="22"/>
          <w:lang w:eastAsia="en-US"/>
        </w:rPr>
        <w:t>ülikool</w:t>
      </w:r>
      <w:r w:rsidRPr="00713D53">
        <w:rPr>
          <w:rFonts w:eastAsia="Calibri" w:cs="Calibri"/>
          <w:szCs w:val="22"/>
          <w:lang w:eastAsia="en-US"/>
        </w:rPr>
        <w:t xml:space="preserve">) </w:t>
      </w:r>
      <w:r w:rsidRPr="00AB53CD">
        <w:rPr>
          <w:rFonts w:eastAsia="Calibri" w:cs="Calibri"/>
          <w:szCs w:val="22"/>
          <w:lang w:eastAsia="en-US"/>
        </w:rPr>
        <w:t>töötajate</w:t>
      </w:r>
      <w:r w:rsidRPr="00713D53">
        <w:rPr>
          <w:rFonts w:eastAsia="Calibri" w:cs="Calibri"/>
          <w:szCs w:val="22"/>
          <w:lang w:eastAsia="en-US"/>
        </w:rPr>
        <w:t xml:space="preserve"> vaheliste konfliktide lahendamiseks. </w:t>
      </w:r>
    </w:p>
    <w:p w14:paraId="3FE7E625" w14:textId="77777777" w:rsidR="00732606" w:rsidRPr="00713D53" w:rsidRDefault="00732606" w:rsidP="00732606">
      <w:pPr>
        <w:numPr>
          <w:ilvl w:val="1"/>
          <w:numId w:val="14"/>
        </w:numPr>
        <w:spacing w:after="160" w:line="259" w:lineRule="auto"/>
        <w:ind w:left="426" w:hanging="426"/>
        <w:contextualSpacing/>
        <w:rPr>
          <w:rFonts w:eastAsia="Calibri" w:cs="Calibri"/>
          <w:szCs w:val="22"/>
          <w:lang w:eastAsia="en-US"/>
        </w:rPr>
      </w:pPr>
      <w:r w:rsidRPr="00713D53">
        <w:rPr>
          <w:rFonts w:eastAsia="Calibri" w:cs="Calibri"/>
          <w:szCs w:val="22"/>
          <w:lang w:eastAsia="en-US"/>
        </w:rPr>
        <w:t>Lepitusmenetluse eesmärgiks on lahendada konfliktid ja tagada töörahu. Eelkõige üritatakse leida osapoolte vahel lepitust läbirääkimiste teel.</w:t>
      </w:r>
    </w:p>
    <w:p w14:paraId="3E74EABD" w14:textId="371C8164" w:rsidR="00732606" w:rsidRPr="00713D53" w:rsidRDefault="004D4C95" w:rsidP="00732606">
      <w:pPr>
        <w:numPr>
          <w:ilvl w:val="1"/>
          <w:numId w:val="14"/>
        </w:numPr>
        <w:spacing w:after="160" w:line="259" w:lineRule="auto"/>
        <w:ind w:left="426" w:hanging="426"/>
        <w:contextualSpacing/>
        <w:rPr>
          <w:rFonts w:eastAsia="Calibri" w:cs="Calibri"/>
          <w:szCs w:val="22"/>
          <w:lang w:eastAsia="en-US"/>
        </w:rPr>
      </w:pPr>
      <w:r w:rsidRPr="004D4C95">
        <w:rPr>
          <w:rFonts w:eastAsia="Calibri" w:cs="Calibri"/>
          <w:szCs w:val="22"/>
          <w:lang w:eastAsia="en-US"/>
        </w:rPr>
        <w:t>Kord laieneb ka ülikoolis mistahes vormis või liiki kehtiva lepingu alusel tööd tegevatele või teenust osutavatele füüsilistele isikutele.</w:t>
      </w:r>
      <w:r w:rsidR="00732606" w:rsidRPr="00713D53">
        <w:rPr>
          <w:rFonts w:eastAsia="Calibri" w:cs="Calibri"/>
          <w:szCs w:val="22"/>
          <w:lang w:eastAsia="en-US"/>
        </w:rPr>
        <w:t xml:space="preserve"> </w:t>
      </w:r>
    </w:p>
    <w:p w14:paraId="265E3193" w14:textId="77777777" w:rsidR="00732606" w:rsidRPr="00713D53" w:rsidRDefault="00732606" w:rsidP="00732606">
      <w:pPr>
        <w:numPr>
          <w:ilvl w:val="1"/>
          <w:numId w:val="14"/>
        </w:numPr>
        <w:spacing w:after="160" w:line="259" w:lineRule="auto"/>
        <w:ind w:left="426" w:hanging="426"/>
        <w:contextualSpacing/>
        <w:rPr>
          <w:rFonts w:eastAsia="Calibri" w:cs="Calibri"/>
          <w:szCs w:val="22"/>
          <w:lang w:eastAsia="en-US"/>
        </w:rPr>
      </w:pPr>
      <w:r w:rsidRPr="00713D53">
        <w:rPr>
          <w:rFonts w:eastAsia="Calibri" w:cs="Calibri"/>
          <w:szCs w:val="22"/>
          <w:lang w:eastAsia="en-US"/>
        </w:rPr>
        <w:t xml:space="preserve">Lepitusmenetluses lähtutakse </w:t>
      </w:r>
      <w:r>
        <w:rPr>
          <w:rFonts w:eastAsia="Calibri" w:cs="Calibri"/>
          <w:szCs w:val="22"/>
          <w:lang w:eastAsia="en-US"/>
        </w:rPr>
        <w:t xml:space="preserve">Eesti Vabariigis </w:t>
      </w:r>
      <w:r w:rsidRPr="00713D53">
        <w:rPr>
          <w:rFonts w:eastAsia="Calibri" w:cs="Calibri"/>
          <w:szCs w:val="22"/>
          <w:lang w:eastAsia="en-US"/>
        </w:rPr>
        <w:t xml:space="preserve">kehtivates </w:t>
      </w:r>
      <w:r>
        <w:rPr>
          <w:rFonts w:eastAsia="Calibri" w:cs="Calibri"/>
          <w:szCs w:val="22"/>
          <w:lang w:eastAsia="en-US"/>
        </w:rPr>
        <w:t>õigusaktides</w:t>
      </w:r>
      <w:r w:rsidRPr="00713D53">
        <w:rPr>
          <w:rFonts w:eastAsia="Calibri" w:cs="Calibri"/>
          <w:szCs w:val="22"/>
          <w:lang w:eastAsia="en-US"/>
        </w:rPr>
        <w:t xml:space="preserve"> ja ülikooli õigusaktides sätestatud töösuhete, õppetöö ja akadeemilise eetika alastest õigusaktidest jt dokumentidest,</w:t>
      </w:r>
      <w:r>
        <w:rPr>
          <w:rFonts w:eastAsia="Calibri" w:cs="Calibri"/>
          <w:szCs w:val="22"/>
          <w:lang w:eastAsia="en-US"/>
        </w:rPr>
        <w:t xml:space="preserve"> sh kuid mitte ainult</w:t>
      </w:r>
      <w:r w:rsidRPr="00713D53">
        <w:rPr>
          <w:rFonts w:eastAsia="Calibri" w:cs="Calibri"/>
          <w:szCs w:val="22"/>
          <w:lang w:eastAsia="en-US"/>
        </w:rPr>
        <w:t>:</w:t>
      </w:r>
    </w:p>
    <w:p w14:paraId="06A090E0" w14:textId="77777777" w:rsidR="00732606" w:rsidRDefault="00732606" w:rsidP="00732606">
      <w:pPr>
        <w:numPr>
          <w:ilvl w:val="2"/>
          <w:numId w:val="14"/>
        </w:numPr>
        <w:spacing w:after="160" w:line="259" w:lineRule="auto"/>
        <w:ind w:left="709" w:hanging="709"/>
        <w:contextualSpacing/>
        <w:rPr>
          <w:rFonts w:eastAsia="Calibri" w:cs="Calibri"/>
          <w:szCs w:val="22"/>
          <w:lang w:eastAsia="en-US"/>
        </w:rPr>
      </w:pPr>
      <w:r w:rsidRPr="00713D53">
        <w:rPr>
          <w:rFonts w:eastAsia="Calibri" w:cs="Calibri"/>
          <w:szCs w:val="22"/>
          <w:lang w:eastAsia="en-US"/>
        </w:rPr>
        <w:t>töölepingu seadus;</w:t>
      </w:r>
    </w:p>
    <w:p w14:paraId="58E284E4" w14:textId="77777777" w:rsidR="00732606" w:rsidRPr="00713D53" w:rsidRDefault="00732606" w:rsidP="00732606">
      <w:pPr>
        <w:numPr>
          <w:ilvl w:val="2"/>
          <w:numId w:val="14"/>
        </w:numPr>
        <w:spacing w:after="160" w:line="259" w:lineRule="auto"/>
        <w:ind w:left="709" w:hanging="709"/>
        <w:contextualSpacing/>
        <w:rPr>
          <w:rFonts w:eastAsia="Calibri" w:cs="Calibri"/>
          <w:szCs w:val="22"/>
          <w:lang w:eastAsia="en-US"/>
        </w:rPr>
      </w:pPr>
      <w:r>
        <w:rPr>
          <w:rFonts w:eastAsia="Calibri" w:cs="Calibri"/>
          <w:szCs w:val="22"/>
          <w:lang w:eastAsia="en-US"/>
        </w:rPr>
        <w:t>võlaõigusseadus;</w:t>
      </w:r>
    </w:p>
    <w:p w14:paraId="0510FC6B" w14:textId="77777777" w:rsidR="00732606" w:rsidRPr="001E52E8" w:rsidRDefault="00732606" w:rsidP="00732606">
      <w:pPr>
        <w:numPr>
          <w:ilvl w:val="2"/>
          <w:numId w:val="14"/>
        </w:numPr>
        <w:spacing w:after="160" w:line="259" w:lineRule="auto"/>
        <w:ind w:left="709" w:hanging="709"/>
        <w:contextualSpacing/>
        <w:rPr>
          <w:rFonts w:eastAsia="Calibri" w:cs="Calibri"/>
          <w:szCs w:val="22"/>
          <w:lang w:eastAsia="en-US"/>
        </w:rPr>
      </w:pPr>
      <w:r w:rsidRPr="00713D53">
        <w:rPr>
          <w:rFonts w:eastAsia="Calibri" w:cs="Calibri"/>
          <w:szCs w:val="22"/>
          <w:lang w:eastAsia="en-US"/>
        </w:rPr>
        <w:t>töökorralduse eeskiri</w:t>
      </w:r>
      <w:r w:rsidRPr="001E52E8">
        <w:rPr>
          <w:rFonts w:eastAsia="Calibri" w:cs="Calibri"/>
          <w:szCs w:val="22"/>
          <w:lang w:eastAsia="en-US"/>
        </w:rPr>
        <w:t>;</w:t>
      </w:r>
    </w:p>
    <w:p w14:paraId="77B04353" w14:textId="77777777" w:rsidR="00732606" w:rsidRPr="001E52E8" w:rsidRDefault="00732606" w:rsidP="00732606">
      <w:pPr>
        <w:numPr>
          <w:ilvl w:val="2"/>
          <w:numId w:val="14"/>
        </w:numPr>
        <w:spacing w:after="160" w:line="259" w:lineRule="auto"/>
        <w:ind w:left="709" w:hanging="709"/>
        <w:contextualSpacing/>
        <w:rPr>
          <w:rFonts w:eastAsia="Calibri" w:cs="Calibri"/>
          <w:szCs w:val="22"/>
          <w:lang w:eastAsia="en-US"/>
        </w:rPr>
      </w:pPr>
      <w:r w:rsidRPr="001E52E8">
        <w:rPr>
          <w:rFonts w:eastAsia="Calibri" w:cs="Calibri"/>
          <w:szCs w:val="22"/>
          <w:lang w:eastAsia="en-US"/>
        </w:rPr>
        <w:t>kollektiivleping;</w:t>
      </w:r>
    </w:p>
    <w:p w14:paraId="4013B8AB" w14:textId="77777777" w:rsidR="00732606" w:rsidRPr="001E52E8" w:rsidRDefault="00732606" w:rsidP="00732606">
      <w:pPr>
        <w:numPr>
          <w:ilvl w:val="2"/>
          <w:numId w:val="14"/>
        </w:numPr>
        <w:spacing w:after="160" w:line="259" w:lineRule="auto"/>
        <w:ind w:left="709" w:hanging="709"/>
        <w:contextualSpacing/>
        <w:rPr>
          <w:rFonts w:eastAsia="Calibri" w:cs="Calibri"/>
          <w:szCs w:val="22"/>
          <w:lang w:eastAsia="en-US"/>
        </w:rPr>
      </w:pPr>
      <w:r w:rsidRPr="001E52E8">
        <w:rPr>
          <w:rFonts w:eastAsia="Calibri" w:cs="Calibri"/>
          <w:szCs w:val="22"/>
          <w:lang w:eastAsia="en-US"/>
        </w:rPr>
        <w:t xml:space="preserve">võrdse kohtlemise juhend. </w:t>
      </w:r>
    </w:p>
    <w:p w14:paraId="4FA05927" w14:textId="78AE2F89" w:rsidR="00732606" w:rsidRPr="00BB5953" w:rsidRDefault="00732606" w:rsidP="00732606">
      <w:pPr>
        <w:numPr>
          <w:ilvl w:val="1"/>
          <w:numId w:val="14"/>
        </w:numPr>
        <w:spacing w:after="160" w:line="259" w:lineRule="auto"/>
        <w:ind w:left="426" w:hanging="426"/>
        <w:contextualSpacing/>
        <w:rPr>
          <w:rFonts w:eastAsia="Calibri" w:cs="Calibri"/>
          <w:szCs w:val="22"/>
          <w:lang w:eastAsia="en-US"/>
        </w:rPr>
      </w:pPr>
      <w:r w:rsidRPr="00BB5953">
        <w:rPr>
          <w:rFonts w:eastAsia="Calibri" w:cs="Calibri"/>
          <w:szCs w:val="22"/>
          <w:lang w:eastAsia="en-US"/>
        </w:rPr>
        <w:t>Lepitusmenetlus viiakse läbi üksnes juhul, kui samas asjas ei tehta seda muu ülikoolis kehtiva õigusakti</w:t>
      </w:r>
      <w:r w:rsidR="00F50709">
        <w:rPr>
          <w:rFonts w:eastAsia="Calibri" w:cs="Calibri"/>
          <w:szCs w:val="22"/>
          <w:lang w:eastAsia="en-US"/>
        </w:rPr>
        <w:t xml:space="preserve"> alusel</w:t>
      </w:r>
      <w:r>
        <w:rPr>
          <w:rFonts w:eastAsia="Calibri" w:cs="Calibri"/>
          <w:szCs w:val="22"/>
          <w:lang w:eastAsia="en-US"/>
        </w:rPr>
        <w:t>.</w:t>
      </w:r>
    </w:p>
    <w:p w14:paraId="55890F9F" w14:textId="77777777" w:rsidR="00732606" w:rsidRPr="00BB5953" w:rsidRDefault="00732606" w:rsidP="00732606">
      <w:pPr>
        <w:spacing w:after="160" w:line="259" w:lineRule="auto"/>
        <w:ind w:left="1080"/>
        <w:contextualSpacing/>
        <w:rPr>
          <w:rFonts w:eastAsia="Calibri" w:cs="Calibri"/>
          <w:szCs w:val="22"/>
          <w:lang w:eastAsia="en-US"/>
        </w:rPr>
      </w:pPr>
      <w:r w:rsidRPr="00BB5953">
        <w:rPr>
          <w:rFonts w:eastAsia="Calibri" w:cs="Calibri"/>
          <w:szCs w:val="22"/>
          <w:lang w:eastAsia="en-US"/>
        </w:rPr>
        <w:t xml:space="preserve"> </w:t>
      </w:r>
    </w:p>
    <w:p w14:paraId="06293A88" w14:textId="77777777" w:rsidR="00732606" w:rsidRPr="00BB5953" w:rsidRDefault="00732606" w:rsidP="00732606">
      <w:pPr>
        <w:numPr>
          <w:ilvl w:val="0"/>
          <w:numId w:val="13"/>
        </w:numPr>
        <w:spacing w:after="160" w:line="259" w:lineRule="auto"/>
        <w:contextualSpacing/>
        <w:rPr>
          <w:rFonts w:eastAsia="Calibri" w:cs="Calibri"/>
          <w:b/>
          <w:szCs w:val="22"/>
          <w:lang w:eastAsia="en-US"/>
        </w:rPr>
      </w:pPr>
      <w:r w:rsidRPr="00BB5953">
        <w:rPr>
          <w:rFonts w:eastAsia="Calibri" w:cs="Calibri"/>
          <w:b/>
          <w:szCs w:val="22"/>
          <w:lang w:eastAsia="en-US"/>
        </w:rPr>
        <w:t>KONFLIKT JA LEPITUSMENETLUSES OSALEVAD ISIKUD</w:t>
      </w:r>
    </w:p>
    <w:p w14:paraId="76B718DE" w14:textId="77777777" w:rsidR="00732606" w:rsidRPr="00BB5953" w:rsidRDefault="00732606" w:rsidP="00732606">
      <w:pPr>
        <w:numPr>
          <w:ilvl w:val="1"/>
          <w:numId w:val="16"/>
        </w:numPr>
        <w:spacing w:after="160" w:line="259" w:lineRule="auto"/>
        <w:contextualSpacing/>
        <w:rPr>
          <w:rFonts w:eastAsia="Calibri" w:cs="Calibri"/>
          <w:szCs w:val="22"/>
          <w:lang w:eastAsia="en-US"/>
        </w:rPr>
      </w:pPr>
      <w:r w:rsidRPr="00BB5953">
        <w:rPr>
          <w:rFonts w:eastAsia="Calibri" w:cs="Calibri"/>
          <w:szCs w:val="22"/>
          <w:lang w:eastAsia="en-US"/>
        </w:rPr>
        <w:t>Konflikt on huvide, vajaduste või väärtushinnangute kokkupõrge, eeskätt kahe isiku või rühma taotluste või soovide vastuolu, nt:</w:t>
      </w:r>
    </w:p>
    <w:p w14:paraId="6941F5F5" w14:textId="77777777" w:rsidR="00732606" w:rsidRPr="00BB5953" w:rsidRDefault="00732606" w:rsidP="00732606">
      <w:pPr>
        <w:numPr>
          <w:ilvl w:val="2"/>
          <w:numId w:val="16"/>
        </w:numPr>
        <w:spacing w:after="160" w:line="259" w:lineRule="auto"/>
        <w:contextualSpacing/>
        <w:rPr>
          <w:rFonts w:eastAsia="Calibri" w:cs="Calibri"/>
          <w:szCs w:val="22"/>
          <w:lang w:eastAsia="en-US"/>
        </w:rPr>
      </w:pPr>
      <w:r w:rsidRPr="00BB5953">
        <w:rPr>
          <w:rFonts w:eastAsia="Calibri" w:cs="Calibri"/>
          <w:szCs w:val="22"/>
          <w:lang w:eastAsia="en-US"/>
        </w:rPr>
        <w:t xml:space="preserve">käitumise eesmärgiks saab teisele kahju tekitamine; </w:t>
      </w:r>
    </w:p>
    <w:p w14:paraId="228594D8" w14:textId="77777777" w:rsidR="00732606" w:rsidRPr="00BB5953" w:rsidRDefault="00732606" w:rsidP="00732606">
      <w:pPr>
        <w:numPr>
          <w:ilvl w:val="2"/>
          <w:numId w:val="16"/>
        </w:numPr>
        <w:spacing w:after="160" w:line="259" w:lineRule="auto"/>
        <w:contextualSpacing/>
        <w:rPr>
          <w:rFonts w:eastAsia="Calibri" w:cs="Calibri"/>
          <w:szCs w:val="22"/>
          <w:lang w:eastAsia="en-US"/>
        </w:rPr>
      </w:pPr>
      <w:r w:rsidRPr="00BB5953">
        <w:rPr>
          <w:rFonts w:eastAsia="Calibri" w:cs="Calibri"/>
          <w:szCs w:val="22"/>
          <w:lang w:eastAsia="en-US"/>
        </w:rPr>
        <w:t>teise isiku süüdistamine, solvamine, halvustamine, alandamine, pilkamine, ebavõrdne kohtlemine;</w:t>
      </w:r>
    </w:p>
    <w:p w14:paraId="79ABD7F7" w14:textId="77777777" w:rsidR="00732606" w:rsidRPr="00BB5953" w:rsidRDefault="00732606" w:rsidP="00732606">
      <w:pPr>
        <w:numPr>
          <w:ilvl w:val="2"/>
          <w:numId w:val="16"/>
        </w:numPr>
        <w:spacing w:after="160" w:line="259" w:lineRule="auto"/>
        <w:contextualSpacing/>
        <w:rPr>
          <w:rFonts w:eastAsia="Calibri" w:cs="Calibri"/>
          <w:szCs w:val="22"/>
          <w:lang w:eastAsia="en-US"/>
        </w:rPr>
      </w:pPr>
      <w:r w:rsidRPr="00BB5953">
        <w:rPr>
          <w:rFonts w:eastAsia="Calibri" w:cs="Calibri"/>
          <w:szCs w:val="22"/>
          <w:lang w:eastAsia="en-US"/>
        </w:rPr>
        <w:t>töökorralduse reeglite või seaduste rikkumi</w:t>
      </w:r>
      <w:r>
        <w:rPr>
          <w:rFonts w:eastAsia="Calibri" w:cs="Calibri"/>
          <w:szCs w:val="22"/>
          <w:lang w:eastAsia="en-US"/>
        </w:rPr>
        <w:t>s</w:t>
      </w:r>
      <w:r w:rsidRPr="00BB5953">
        <w:rPr>
          <w:rFonts w:eastAsia="Calibri" w:cs="Calibri"/>
          <w:szCs w:val="22"/>
          <w:lang w:eastAsia="en-US"/>
        </w:rPr>
        <w:t>e</w:t>
      </w:r>
      <w:r>
        <w:rPr>
          <w:rFonts w:eastAsia="Calibri" w:cs="Calibri"/>
          <w:szCs w:val="22"/>
          <w:lang w:eastAsia="en-US"/>
        </w:rPr>
        <w:t xml:space="preserve"> kahtlus</w:t>
      </w:r>
      <w:r w:rsidRPr="00BB5953">
        <w:rPr>
          <w:rFonts w:eastAsia="Calibri" w:cs="Calibri"/>
          <w:szCs w:val="22"/>
          <w:lang w:eastAsia="en-US"/>
        </w:rPr>
        <w:t>;</w:t>
      </w:r>
    </w:p>
    <w:p w14:paraId="50891318" w14:textId="77777777" w:rsidR="00732606" w:rsidRPr="00BB5953" w:rsidRDefault="00732606" w:rsidP="00732606">
      <w:pPr>
        <w:numPr>
          <w:ilvl w:val="2"/>
          <w:numId w:val="16"/>
        </w:numPr>
        <w:spacing w:after="160" w:line="259" w:lineRule="auto"/>
        <w:contextualSpacing/>
        <w:rPr>
          <w:rFonts w:eastAsia="Calibri" w:cs="Calibri"/>
          <w:szCs w:val="22"/>
          <w:lang w:eastAsia="en-US"/>
        </w:rPr>
      </w:pPr>
      <w:r w:rsidRPr="00BB5953">
        <w:rPr>
          <w:rFonts w:eastAsia="Calibri" w:cs="Calibri"/>
          <w:szCs w:val="22"/>
          <w:lang w:eastAsia="en-US"/>
        </w:rPr>
        <w:t>töörahu rikkumine.</w:t>
      </w:r>
    </w:p>
    <w:p w14:paraId="35AE5D01" w14:textId="77777777" w:rsidR="00732606" w:rsidRPr="00BB5953" w:rsidRDefault="00732606" w:rsidP="00732606">
      <w:pPr>
        <w:numPr>
          <w:ilvl w:val="1"/>
          <w:numId w:val="16"/>
        </w:numPr>
        <w:spacing w:after="160" w:line="259" w:lineRule="auto"/>
        <w:contextualSpacing/>
        <w:rPr>
          <w:rFonts w:eastAsia="Calibri" w:cs="Calibri"/>
          <w:szCs w:val="22"/>
          <w:lang w:eastAsia="en-US"/>
        </w:rPr>
      </w:pPr>
      <w:r w:rsidRPr="00BB5953">
        <w:rPr>
          <w:rFonts w:eastAsia="Calibri" w:cs="Calibri"/>
          <w:szCs w:val="22"/>
          <w:lang w:eastAsia="en-US"/>
        </w:rPr>
        <w:t xml:space="preserve">Lepitusmenetluses osalevad konflikti osapooled, esimese ja teise astme lahendajad, kaasatud isikud ja konflikti osas infot valdavad isikud. </w:t>
      </w:r>
    </w:p>
    <w:p w14:paraId="7D32CEAB" w14:textId="77777777" w:rsidR="00732606" w:rsidRPr="00713D53" w:rsidRDefault="00732606" w:rsidP="00732606">
      <w:pPr>
        <w:numPr>
          <w:ilvl w:val="1"/>
          <w:numId w:val="16"/>
        </w:numPr>
        <w:spacing w:after="160" w:line="259" w:lineRule="auto"/>
        <w:contextualSpacing/>
        <w:rPr>
          <w:rFonts w:eastAsia="Calibri" w:cs="Calibri"/>
          <w:szCs w:val="22"/>
          <w:lang w:eastAsia="en-US"/>
        </w:rPr>
      </w:pPr>
      <w:r w:rsidRPr="00BB5953">
        <w:rPr>
          <w:rFonts w:eastAsia="Calibri" w:cs="Calibri"/>
          <w:szCs w:val="22"/>
          <w:lang w:eastAsia="en-US"/>
        </w:rPr>
        <w:t>Lepitusmenetluses olevad  isikud on kohustatud mitte avaldama ega edastama neile menetluse käigus teatavaks saanud konfidentsiaalseid andmeid.</w:t>
      </w:r>
      <w:r>
        <w:rPr>
          <w:rFonts w:eastAsia="Calibri" w:cs="Calibri"/>
          <w:szCs w:val="22"/>
          <w:lang w:eastAsia="en-US"/>
        </w:rPr>
        <w:t xml:space="preserve"> Käesoleva korra mõistes loetakse konfidentsiaalseteks andmeteks selliseid menetluse osapoolte ja nendevahelise konflikti andmeid, </w:t>
      </w:r>
      <w:r w:rsidRPr="00713D53">
        <w:rPr>
          <w:rFonts w:eastAsia="Calibri" w:cs="Calibri"/>
          <w:szCs w:val="22"/>
          <w:lang w:eastAsia="en-US"/>
        </w:rPr>
        <w:t>mille kohta puudub avalik teadmine. Samuti selliseid andmeid ja teavet, mida tuleb konfidentsiaalsena käsitleda lähtuvalt seadustest ning milliste korral juurdepääsu sellele saavad ainult need subjektid, kellel on selleks õigused.</w:t>
      </w:r>
    </w:p>
    <w:p w14:paraId="212F7820" w14:textId="77777777" w:rsidR="00732606" w:rsidRPr="00AB53CD" w:rsidRDefault="00732606" w:rsidP="00732606">
      <w:pPr>
        <w:numPr>
          <w:ilvl w:val="1"/>
          <w:numId w:val="16"/>
        </w:numPr>
        <w:spacing w:after="160" w:line="259" w:lineRule="auto"/>
        <w:contextualSpacing/>
        <w:rPr>
          <w:rFonts w:eastAsia="Calibri" w:cs="Calibri"/>
          <w:szCs w:val="22"/>
          <w:lang w:eastAsia="en-US"/>
        </w:rPr>
      </w:pPr>
      <w:r w:rsidRPr="00713D53">
        <w:rPr>
          <w:rFonts w:eastAsia="Calibri" w:cs="Calibri"/>
          <w:szCs w:val="22"/>
          <w:lang w:eastAsia="en-US"/>
        </w:rPr>
        <w:t xml:space="preserve">Ülikool võib avalikustada konfliktide kohta teavet, et ennetada taunitava käitumise kordumist. Avalikustamisel tagatakse anonüümsus ja kui see ei ole võimalik, siis avalikustatakse andmed ainult osapoolte nõusolekul. </w:t>
      </w:r>
    </w:p>
    <w:p w14:paraId="35201CCC" w14:textId="77777777" w:rsidR="00732606" w:rsidRPr="00713D53" w:rsidRDefault="00732606" w:rsidP="00732606">
      <w:pPr>
        <w:spacing w:after="160" w:line="259" w:lineRule="auto"/>
        <w:ind w:left="830"/>
        <w:contextualSpacing/>
        <w:rPr>
          <w:rFonts w:eastAsia="Calibri" w:cs="Calibri"/>
          <w:szCs w:val="22"/>
          <w:lang w:eastAsia="en-US"/>
        </w:rPr>
      </w:pPr>
    </w:p>
    <w:p w14:paraId="2BFD884A" w14:textId="77777777" w:rsidR="00732606" w:rsidRPr="00713D53" w:rsidRDefault="00732606" w:rsidP="00732606">
      <w:pPr>
        <w:numPr>
          <w:ilvl w:val="0"/>
          <w:numId w:val="13"/>
        </w:numPr>
        <w:spacing w:after="160" w:line="259" w:lineRule="auto"/>
        <w:contextualSpacing/>
        <w:rPr>
          <w:rFonts w:eastAsia="Calibri" w:cs="Calibri"/>
          <w:b/>
          <w:szCs w:val="22"/>
          <w:lang w:eastAsia="en-US"/>
        </w:rPr>
      </w:pPr>
      <w:r w:rsidRPr="00713D53">
        <w:rPr>
          <w:rFonts w:eastAsia="Calibri" w:cs="Calibri"/>
          <w:b/>
          <w:szCs w:val="22"/>
          <w:lang w:eastAsia="en-US"/>
        </w:rPr>
        <w:t>LEPITUSMENETLUS</w:t>
      </w:r>
    </w:p>
    <w:p w14:paraId="386251FB" w14:textId="77777777" w:rsidR="00732606" w:rsidRDefault="00732606" w:rsidP="00732606">
      <w:pPr>
        <w:numPr>
          <w:ilvl w:val="1"/>
          <w:numId w:val="15"/>
        </w:numPr>
        <w:spacing w:after="160" w:line="259" w:lineRule="auto"/>
        <w:contextualSpacing/>
        <w:rPr>
          <w:rFonts w:eastAsia="Calibri" w:cs="Calibri"/>
          <w:szCs w:val="22"/>
          <w:lang w:eastAsia="en-US"/>
        </w:rPr>
      </w:pPr>
      <w:r>
        <w:rPr>
          <w:rFonts w:eastAsia="Calibri" w:cs="Calibri"/>
          <w:szCs w:val="22"/>
          <w:lang w:eastAsia="en-US"/>
        </w:rPr>
        <w:t>Lepitusmenetlus viiakse vajadusel läbi kahes astmes. Esimeses astmes toimub menetlemine struktuuriüksuses. Teise astme lepitamine toimub, kui esimese astme menetluse tulemus ei ole osapooltele piisav. Teise astme lahendajaks on lepitusmenetluse komisjon.</w:t>
      </w:r>
    </w:p>
    <w:p w14:paraId="2EEFCE85" w14:textId="77777777" w:rsidR="00732606" w:rsidRPr="00BB5953" w:rsidRDefault="00732606" w:rsidP="00732606">
      <w:pPr>
        <w:numPr>
          <w:ilvl w:val="1"/>
          <w:numId w:val="15"/>
        </w:numPr>
        <w:spacing w:after="160" w:line="259" w:lineRule="auto"/>
        <w:contextualSpacing/>
        <w:rPr>
          <w:rFonts w:eastAsia="Calibri" w:cs="Calibri"/>
          <w:szCs w:val="22"/>
          <w:lang w:eastAsia="en-US"/>
        </w:rPr>
      </w:pPr>
      <w:r w:rsidRPr="00BB5953">
        <w:rPr>
          <w:rFonts w:eastAsia="Calibri" w:cs="Calibri"/>
          <w:szCs w:val="22"/>
          <w:lang w:eastAsia="en-US"/>
        </w:rPr>
        <w:t>Menetlus</w:t>
      </w:r>
      <w:r>
        <w:rPr>
          <w:rFonts w:eastAsia="Calibri" w:cs="Calibri"/>
          <w:szCs w:val="22"/>
          <w:lang w:eastAsia="en-US"/>
        </w:rPr>
        <w:t>e</w:t>
      </w:r>
      <w:r w:rsidRPr="00BB5953">
        <w:rPr>
          <w:rFonts w:eastAsia="Calibri" w:cs="Calibri"/>
          <w:szCs w:val="22"/>
          <w:lang w:eastAsia="en-US"/>
        </w:rPr>
        <w:t xml:space="preserve"> aluseks </w:t>
      </w:r>
      <w:r>
        <w:rPr>
          <w:rFonts w:eastAsia="Calibri" w:cs="Calibri"/>
          <w:szCs w:val="22"/>
          <w:lang w:eastAsia="en-US"/>
        </w:rPr>
        <w:t xml:space="preserve">esimeses astmes on töötaja vabas vormis teavitus ja teises astmes </w:t>
      </w:r>
      <w:r w:rsidRPr="00BB5953">
        <w:rPr>
          <w:rFonts w:eastAsia="Calibri" w:cs="Calibri"/>
          <w:szCs w:val="22"/>
          <w:lang w:eastAsia="en-US"/>
        </w:rPr>
        <w:t>on</w:t>
      </w:r>
      <w:r>
        <w:rPr>
          <w:rFonts w:eastAsia="Calibri" w:cs="Calibri"/>
          <w:szCs w:val="22"/>
          <w:lang w:eastAsia="en-US"/>
        </w:rPr>
        <w:t xml:space="preserve"> kirjalikku</w:t>
      </w:r>
      <w:r w:rsidRPr="00BB5953">
        <w:rPr>
          <w:rFonts w:eastAsia="Calibri" w:cs="Calibri"/>
          <w:szCs w:val="22"/>
          <w:lang w:eastAsia="en-US"/>
        </w:rPr>
        <w:t xml:space="preserve"> taasesitamist võimaldavas vormis esitatud lepitusmenetluse avaldus, mis peab sisaldama asjaolude kirjeldust, tõendeid või nende kirjeldust ning taotlust.</w:t>
      </w:r>
    </w:p>
    <w:p w14:paraId="40D290F8" w14:textId="77777777" w:rsidR="00732606" w:rsidRPr="00BB5953" w:rsidRDefault="00732606" w:rsidP="00732606">
      <w:pPr>
        <w:numPr>
          <w:ilvl w:val="1"/>
          <w:numId w:val="15"/>
        </w:numPr>
        <w:spacing w:after="160" w:line="259" w:lineRule="auto"/>
        <w:contextualSpacing/>
        <w:rPr>
          <w:rFonts w:eastAsia="Calibri" w:cs="Calibri"/>
          <w:szCs w:val="22"/>
          <w:lang w:eastAsia="en-US"/>
        </w:rPr>
      </w:pPr>
      <w:r w:rsidRPr="00BB5953">
        <w:rPr>
          <w:rFonts w:eastAsia="Calibri" w:cs="Calibri"/>
          <w:szCs w:val="22"/>
          <w:lang w:eastAsia="en-US"/>
        </w:rPr>
        <w:lastRenderedPageBreak/>
        <w:t>Lepitusmenetluse avaldus registreeritakse.</w:t>
      </w:r>
      <w:r>
        <w:rPr>
          <w:rFonts w:eastAsia="Calibri" w:cs="Calibri"/>
          <w:szCs w:val="22"/>
          <w:lang w:eastAsia="en-US"/>
        </w:rPr>
        <w:t xml:space="preserve"> Registreerimist korraldab siseauditi büroo juhataja, kellele tuleb edastada kõik vastava lepitusmenetlusega seotud olulised materjalid. Siseauditi büroo juhataja määrab ka ligipääsuõigused igale lepitusmenetlusele ning annab sellest teada komisjoni liikmetele.</w:t>
      </w:r>
    </w:p>
    <w:p w14:paraId="69104CF6" w14:textId="77777777" w:rsidR="00732606" w:rsidRPr="00BB5953" w:rsidRDefault="00732606" w:rsidP="00732606">
      <w:pPr>
        <w:numPr>
          <w:ilvl w:val="1"/>
          <w:numId w:val="15"/>
        </w:numPr>
        <w:spacing w:after="160" w:line="259" w:lineRule="auto"/>
        <w:contextualSpacing/>
        <w:rPr>
          <w:rFonts w:eastAsia="Calibri" w:cs="Calibri"/>
          <w:szCs w:val="22"/>
          <w:lang w:eastAsia="en-US"/>
        </w:rPr>
      </w:pPr>
      <w:r w:rsidRPr="00BB5953">
        <w:rPr>
          <w:rFonts w:eastAsia="Calibri" w:cs="Calibri"/>
          <w:szCs w:val="22"/>
          <w:lang w:eastAsia="en-US"/>
        </w:rPr>
        <w:t xml:space="preserve">Lepitusmenetluses teeb lahendaja otsuse, milleks võib olla lepituse kirjeldus, </w:t>
      </w:r>
      <w:r>
        <w:rPr>
          <w:rFonts w:eastAsia="Calibri" w:cs="Calibri"/>
          <w:szCs w:val="22"/>
          <w:lang w:eastAsia="en-US"/>
        </w:rPr>
        <w:t xml:space="preserve">osapoolte </w:t>
      </w:r>
      <w:r w:rsidRPr="00BB5953">
        <w:rPr>
          <w:rFonts w:eastAsia="Calibri" w:cs="Calibri"/>
          <w:szCs w:val="22"/>
          <w:lang w:eastAsia="en-US"/>
        </w:rPr>
        <w:t xml:space="preserve">kokkulepe, rikkumise tuvastamine koos </w:t>
      </w:r>
      <w:r>
        <w:rPr>
          <w:rFonts w:eastAsia="Calibri" w:cs="Calibri"/>
          <w:szCs w:val="22"/>
          <w:lang w:eastAsia="en-US"/>
        </w:rPr>
        <w:t xml:space="preserve">võimalike seadusest tulenevate </w:t>
      </w:r>
      <w:r w:rsidRPr="00BB5953">
        <w:rPr>
          <w:rFonts w:eastAsia="Calibri" w:cs="Calibri"/>
          <w:szCs w:val="22"/>
          <w:lang w:eastAsia="en-US"/>
        </w:rPr>
        <w:t>rakendatavate õiguskaitsevahenditega, menetluse lõpetamine osapoolte nõusolekul või muu konflikti lahendus.</w:t>
      </w:r>
    </w:p>
    <w:p w14:paraId="31657586" w14:textId="77777777" w:rsidR="00732606" w:rsidRPr="00713D53" w:rsidRDefault="00732606" w:rsidP="00732606">
      <w:pPr>
        <w:numPr>
          <w:ilvl w:val="1"/>
          <w:numId w:val="15"/>
        </w:numPr>
        <w:spacing w:after="160" w:line="259" w:lineRule="auto"/>
        <w:contextualSpacing/>
        <w:rPr>
          <w:rFonts w:eastAsia="Calibri" w:cs="Calibri"/>
          <w:szCs w:val="22"/>
          <w:lang w:eastAsia="en-US"/>
        </w:rPr>
      </w:pPr>
      <w:r w:rsidRPr="00713D53">
        <w:rPr>
          <w:rFonts w:eastAsia="Calibri" w:cs="Calibri"/>
          <w:szCs w:val="22"/>
          <w:lang w:eastAsia="en-US"/>
        </w:rPr>
        <w:t>Jõustunud otsuse täitmist korraldab struktuuriüksuse juht.</w:t>
      </w:r>
    </w:p>
    <w:p w14:paraId="1C5A6EB2" w14:textId="77777777" w:rsidR="00732606" w:rsidRPr="00BB5953" w:rsidRDefault="00732606" w:rsidP="00732606">
      <w:pPr>
        <w:numPr>
          <w:ilvl w:val="1"/>
          <w:numId w:val="15"/>
        </w:numPr>
        <w:spacing w:after="160" w:line="259" w:lineRule="auto"/>
        <w:contextualSpacing/>
        <w:rPr>
          <w:rFonts w:eastAsia="Calibri" w:cs="Calibri"/>
          <w:szCs w:val="22"/>
          <w:lang w:eastAsia="en-US"/>
        </w:rPr>
      </w:pPr>
      <w:r w:rsidRPr="00BB5953">
        <w:rPr>
          <w:rFonts w:eastAsia="Calibri" w:cs="Calibri"/>
          <w:szCs w:val="22"/>
          <w:lang w:eastAsia="en-US"/>
        </w:rPr>
        <w:t>Asjas on tõenditeks mistahes andmed, mille alusel saab tuvastada asjaolusid ja väiteid, seejuures:</w:t>
      </w:r>
    </w:p>
    <w:p w14:paraId="54557469" w14:textId="77777777"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osapool peab tõendama asjaolusid, millele tuginevad tema nõuded ja vastuväited;</w:t>
      </w:r>
    </w:p>
    <w:p w14:paraId="6D5FC080" w14:textId="77777777"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 xml:space="preserve">tõendada ei ole vaja asjaolu, mida lepitusmenetluse läbiviija loeb </w:t>
      </w:r>
      <w:proofErr w:type="spellStart"/>
      <w:r w:rsidRPr="00BB5953">
        <w:rPr>
          <w:rFonts w:eastAsia="Calibri" w:cs="Calibri"/>
          <w:szCs w:val="22"/>
          <w:lang w:eastAsia="en-US"/>
        </w:rPr>
        <w:t>üldtuntuks</w:t>
      </w:r>
      <w:proofErr w:type="spellEnd"/>
      <w:r w:rsidRPr="00BB5953">
        <w:rPr>
          <w:rFonts w:eastAsia="Calibri" w:cs="Calibri"/>
          <w:szCs w:val="22"/>
          <w:lang w:eastAsia="en-US"/>
        </w:rPr>
        <w:t xml:space="preserve">, st asjaolu, mille kohta saab usaldusväärset teavet sõltumatutest allikatest; </w:t>
      </w:r>
    </w:p>
    <w:p w14:paraId="0D68DEF9" w14:textId="3ED072EF"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asjaolu kohta esitatud väide ei vaja tõendamist, kui vastaspool võtab selle omaks</w:t>
      </w:r>
      <w:r w:rsidR="002175CE">
        <w:rPr>
          <w:rFonts w:eastAsia="Calibri" w:cs="Calibri"/>
          <w:szCs w:val="22"/>
          <w:lang w:eastAsia="en-US"/>
        </w:rPr>
        <w:t xml:space="preserve">. </w:t>
      </w:r>
      <w:r w:rsidRPr="00BB5953">
        <w:rPr>
          <w:rFonts w:eastAsia="Calibri" w:cs="Calibri"/>
          <w:szCs w:val="22"/>
          <w:lang w:eastAsia="en-US"/>
        </w:rPr>
        <w:t>Omaksvõtt on väitega selgesõnaline nõustumine lepitusmenetluse läbiviijale adresseeritud dokumendis või protokollituna lepitusmenetluse käigus;</w:t>
      </w:r>
    </w:p>
    <w:p w14:paraId="0B3E9C4D" w14:textId="77777777"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lepitusmenetluse läbiviijal on õigus nõuda osapooltelt vaidluse lahendamiseks vajalikke tõendeid, samuti vastust vastaspoole seisukohale.</w:t>
      </w:r>
    </w:p>
    <w:p w14:paraId="7BFEDF08" w14:textId="77777777" w:rsidR="00732606" w:rsidRDefault="00732606" w:rsidP="00732606">
      <w:pPr>
        <w:numPr>
          <w:ilvl w:val="1"/>
          <w:numId w:val="15"/>
        </w:numPr>
        <w:spacing w:after="160" w:line="259" w:lineRule="auto"/>
        <w:ind w:left="426" w:hanging="426"/>
        <w:contextualSpacing/>
        <w:rPr>
          <w:rFonts w:eastAsia="Calibri" w:cs="Calibri"/>
          <w:szCs w:val="22"/>
          <w:lang w:eastAsia="en-US"/>
        </w:rPr>
      </w:pPr>
      <w:r w:rsidRPr="00B3168C">
        <w:rPr>
          <w:rFonts w:eastAsia="Calibri" w:cs="Calibri"/>
          <w:szCs w:val="22"/>
          <w:lang w:eastAsia="en-US"/>
        </w:rPr>
        <w:t>Lepitusmenetluse esimese astme lahendaja on</w:t>
      </w:r>
      <w:r>
        <w:rPr>
          <w:rFonts w:eastAsia="Calibri" w:cs="Calibri"/>
          <w:szCs w:val="22"/>
          <w:lang w:eastAsia="en-US"/>
        </w:rPr>
        <w:t xml:space="preserve"> </w:t>
      </w:r>
      <w:r w:rsidRPr="00B3168C">
        <w:rPr>
          <w:rFonts w:eastAsia="Calibri" w:cs="Calibri"/>
          <w:szCs w:val="22"/>
          <w:lang w:eastAsia="en-US"/>
        </w:rPr>
        <w:t>kas otsene juht või</w:t>
      </w:r>
      <w:r>
        <w:rPr>
          <w:rFonts w:eastAsia="Calibri" w:cs="Calibri"/>
          <w:szCs w:val="22"/>
          <w:lang w:eastAsia="en-US"/>
        </w:rPr>
        <w:t xml:space="preserve"> tema juht</w:t>
      </w:r>
      <w:r w:rsidRPr="00B3168C">
        <w:rPr>
          <w:rFonts w:eastAsia="Calibri" w:cs="Calibri"/>
          <w:szCs w:val="22"/>
          <w:lang w:eastAsia="en-US"/>
        </w:rPr>
        <w:t>, kui</w:t>
      </w:r>
      <w:r w:rsidRPr="00741285">
        <w:rPr>
          <w:rFonts w:eastAsia="Calibri" w:cs="Calibri"/>
          <w:szCs w:val="22"/>
          <w:lang w:eastAsia="en-US"/>
        </w:rPr>
        <w:t xml:space="preserve"> </w:t>
      </w:r>
      <w:r w:rsidRPr="00B3168C">
        <w:rPr>
          <w:rFonts w:eastAsia="Calibri" w:cs="Calibri"/>
          <w:szCs w:val="22"/>
          <w:lang w:eastAsia="en-US"/>
        </w:rPr>
        <w:t>konflikt on seotud</w:t>
      </w:r>
      <w:r>
        <w:rPr>
          <w:rFonts w:eastAsia="Calibri" w:cs="Calibri"/>
          <w:szCs w:val="22"/>
          <w:lang w:eastAsia="en-US"/>
        </w:rPr>
        <w:t xml:space="preserve"> otsese juhiga.</w:t>
      </w:r>
    </w:p>
    <w:p w14:paraId="7BBF246C" w14:textId="77777777" w:rsidR="00732606" w:rsidRPr="00E64916" w:rsidRDefault="00732606" w:rsidP="00732606">
      <w:pPr>
        <w:numPr>
          <w:ilvl w:val="1"/>
          <w:numId w:val="15"/>
        </w:numPr>
        <w:spacing w:after="160" w:line="259" w:lineRule="auto"/>
        <w:contextualSpacing/>
        <w:rPr>
          <w:rFonts w:eastAsia="Calibri" w:cs="Calibri"/>
          <w:szCs w:val="22"/>
          <w:lang w:eastAsia="en-US"/>
        </w:rPr>
      </w:pPr>
      <w:r w:rsidRPr="00E64916">
        <w:rPr>
          <w:rFonts w:eastAsia="Calibri" w:cs="Calibri"/>
          <w:szCs w:val="22"/>
          <w:lang w:eastAsia="en-US"/>
        </w:rPr>
        <w:t>Esimese astme lepitusmenetluses lahendaja:</w:t>
      </w:r>
    </w:p>
    <w:p w14:paraId="6EE54070" w14:textId="77777777"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kogub ja hindab esitatud tõendeid, kuulab ära asjaosalised, vajadusel kaasab eksperte ja muid isikuid;</w:t>
      </w:r>
    </w:p>
    <w:p w14:paraId="6BE5F69B" w14:textId="77777777" w:rsidR="00732606" w:rsidRPr="00E83881" w:rsidRDefault="00732606" w:rsidP="00732606">
      <w:pPr>
        <w:numPr>
          <w:ilvl w:val="2"/>
          <w:numId w:val="15"/>
        </w:numPr>
        <w:spacing w:after="160" w:line="259" w:lineRule="auto"/>
        <w:contextualSpacing/>
        <w:rPr>
          <w:rFonts w:eastAsia="Calibri" w:cs="Calibri"/>
          <w:szCs w:val="22"/>
          <w:lang w:eastAsia="en-US"/>
        </w:rPr>
      </w:pPr>
      <w:r w:rsidRPr="00E83881">
        <w:rPr>
          <w:rFonts w:eastAsia="Calibri" w:cs="Calibri"/>
          <w:szCs w:val="22"/>
          <w:lang w:eastAsia="en-US"/>
        </w:rPr>
        <w:t>lahendab konflikt</w:t>
      </w:r>
      <w:r>
        <w:rPr>
          <w:rFonts w:eastAsia="Calibri" w:cs="Calibri"/>
          <w:szCs w:val="22"/>
          <w:lang w:eastAsia="en-US"/>
        </w:rPr>
        <w:t>i</w:t>
      </w:r>
      <w:r w:rsidRPr="00E83881">
        <w:rPr>
          <w:rFonts w:eastAsia="Calibri" w:cs="Calibri"/>
          <w:szCs w:val="22"/>
          <w:lang w:eastAsia="en-US"/>
        </w:rPr>
        <w:t xml:space="preserve"> ja lepitab osapooli;</w:t>
      </w:r>
    </w:p>
    <w:p w14:paraId="70328421" w14:textId="52393C0F" w:rsidR="00732606" w:rsidRPr="00E83881" w:rsidRDefault="00732606" w:rsidP="00732606">
      <w:pPr>
        <w:numPr>
          <w:ilvl w:val="2"/>
          <w:numId w:val="15"/>
        </w:numPr>
        <w:spacing w:after="160" w:line="259" w:lineRule="auto"/>
        <w:contextualSpacing/>
        <w:rPr>
          <w:rFonts w:eastAsia="Calibri" w:cs="Calibri"/>
          <w:szCs w:val="22"/>
          <w:lang w:eastAsia="en-US"/>
        </w:rPr>
      </w:pPr>
      <w:r w:rsidRPr="00E83881">
        <w:rPr>
          <w:rFonts w:eastAsia="Calibri" w:cs="Calibri"/>
          <w:szCs w:val="22"/>
          <w:lang w:eastAsia="en-US"/>
        </w:rPr>
        <w:t xml:space="preserve">teeb otsuse nii kiiresti, kui võimalik, kuid mitte hiljem kui 15 </w:t>
      </w:r>
      <w:r w:rsidR="00801796">
        <w:rPr>
          <w:rFonts w:eastAsia="Calibri" w:cs="Calibri"/>
          <w:szCs w:val="22"/>
          <w:lang w:eastAsia="en-US"/>
        </w:rPr>
        <w:t>töö</w:t>
      </w:r>
      <w:r w:rsidRPr="00E83881">
        <w:rPr>
          <w:rFonts w:eastAsia="Calibri" w:cs="Calibri"/>
          <w:szCs w:val="22"/>
          <w:lang w:eastAsia="en-US"/>
        </w:rPr>
        <w:t>päeva jooksul;</w:t>
      </w:r>
    </w:p>
    <w:p w14:paraId="5D03CE83" w14:textId="66169449"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teavitab osapooli otsusest kirjalikku taasesitamist võimaldavas v</w:t>
      </w:r>
      <w:r>
        <w:rPr>
          <w:rFonts w:eastAsia="Calibri" w:cs="Calibri"/>
          <w:szCs w:val="22"/>
          <w:lang w:eastAsia="en-US"/>
        </w:rPr>
        <w:t xml:space="preserve">ormis hiljemalt 5 </w:t>
      </w:r>
      <w:r w:rsidR="00801796">
        <w:rPr>
          <w:rFonts w:eastAsia="Calibri" w:cs="Calibri"/>
          <w:szCs w:val="22"/>
          <w:lang w:eastAsia="en-US"/>
        </w:rPr>
        <w:t>töö</w:t>
      </w:r>
      <w:r>
        <w:rPr>
          <w:rFonts w:eastAsia="Calibri" w:cs="Calibri"/>
          <w:szCs w:val="22"/>
          <w:lang w:eastAsia="en-US"/>
        </w:rPr>
        <w:t>päeva jooksul</w:t>
      </w:r>
      <w:r w:rsidRPr="00BB5953">
        <w:rPr>
          <w:rFonts w:eastAsia="Calibri" w:cs="Calibri"/>
          <w:szCs w:val="22"/>
          <w:lang w:eastAsia="en-US"/>
        </w:rPr>
        <w:t>;</w:t>
      </w:r>
    </w:p>
    <w:p w14:paraId="76166069" w14:textId="436EBCE4" w:rsidR="00732606"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 xml:space="preserve">teavitab personaliosakonda kõikidest juhtumitest, millel on </w:t>
      </w:r>
      <w:r w:rsidR="008C1A1D">
        <w:rPr>
          <w:rFonts w:eastAsia="Calibri" w:cs="Calibri"/>
          <w:szCs w:val="22"/>
          <w:lang w:eastAsia="en-US"/>
        </w:rPr>
        <w:t>süüteo (</w:t>
      </w:r>
      <w:r w:rsidR="00165530">
        <w:rPr>
          <w:rFonts w:eastAsia="Calibri" w:cs="Calibri"/>
          <w:szCs w:val="22"/>
          <w:lang w:eastAsia="en-US"/>
        </w:rPr>
        <w:t xml:space="preserve">väärteo </w:t>
      </w:r>
      <w:r w:rsidR="00F03103">
        <w:rPr>
          <w:rFonts w:eastAsia="Calibri" w:cs="Calibri"/>
          <w:szCs w:val="22"/>
          <w:lang w:eastAsia="en-US"/>
        </w:rPr>
        <w:t xml:space="preserve">või </w:t>
      </w:r>
      <w:r w:rsidRPr="00BB5953">
        <w:rPr>
          <w:rFonts w:eastAsia="Calibri" w:cs="Calibri"/>
          <w:szCs w:val="22"/>
          <w:lang w:eastAsia="en-US"/>
        </w:rPr>
        <w:t>kuriteo</w:t>
      </w:r>
      <w:r w:rsidR="008C1A1D">
        <w:rPr>
          <w:rFonts w:eastAsia="Calibri" w:cs="Calibri"/>
          <w:szCs w:val="22"/>
          <w:lang w:eastAsia="en-US"/>
        </w:rPr>
        <w:t>)</w:t>
      </w:r>
      <w:r w:rsidRPr="00BB5953">
        <w:rPr>
          <w:rFonts w:eastAsia="Calibri" w:cs="Calibri"/>
          <w:szCs w:val="22"/>
          <w:lang w:eastAsia="en-US"/>
        </w:rPr>
        <w:t xml:space="preserve"> tunnused või mis kätkevad endas võimalikku</w:t>
      </w:r>
      <w:r>
        <w:rPr>
          <w:rFonts w:eastAsia="Calibri" w:cs="Calibri"/>
          <w:szCs w:val="22"/>
          <w:lang w:eastAsia="en-US"/>
        </w:rPr>
        <w:t xml:space="preserve"> ülikooli</w:t>
      </w:r>
      <w:r w:rsidRPr="00BB5953">
        <w:rPr>
          <w:rFonts w:eastAsia="Calibri" w:cs="Calibri"/>
          <w:szCs w:val="22"/>
          <w:lang w:eastAsia="en-US"/>
        </w:rPr>
        <w:t xml:space="preserve"> maine riski.</w:t>
      </w:r>
    </w:p>
    <w:p w14:paraId="537DA0C4" w14:textId="77777777" w:rsidR="00732606" w:rsidRPr="00BB5953" w:rsidRDefault="00732606" w:rsidP="00732606">
      <w:pPr>
        <w:numPr>
          <w:ilvl w:val="1"/>
          <w:numId w:val="15"/>
        </w:numPr>
        <w:spacing w:after="160" w:line="259" w:lineRule="auto"/>
        <w:contextualSpacing/>
        <w:rPr>
          <w:rFonts w:eastAsia="Calibri" w:cs="Calibri"/>
          <w:szCs w:val="22"/>
          <w:lang w:eastAsia="en-US"/>
        </w:rPr>
      </w:pPr>
      <w:r>
        <w:rPr>
          <w:rFonts w:eastAsia="Calibri" w:cs="Calibri"/>
          <w:szCs w:val="22"/>
          <w:lang w:eastAsia="en-US"/>
        </w:rPr>
        <w:t xml:space="preserve">Esimese astme </w:t>
      </w:r>
      <w:r w:rsidRPr="00F9456F">
        <w:rPr>
          <w:rFonts w:eastAsia="Calibri" w:cs="Calibri"/>
          <w:szCs w:val="22"/>
          <w:lang w:eastAsia="en-US"/>
        </w:rPr>
        <w:t>otsust saab vaidlustada teises astmes, teatades sellest hiljemalt 5 tööpäeva jooksul</w:t>
      </w:r>
      <w:r>
        <w:rPr>
          <w:rFonts w:eastAsia="Calibri" w:cs="Calibri"/>
          <w:szCs w:val="22"/>
          <w:lang w:eastAsia="en-US"/>
        </w:rPr>
        <w:t xml:space="preserve"> otsuse teinud isikule</w:t>
      </w:r>
      <w:r w:rsidRPr="00F9456F">
        <w:rPr>
          <w:rFonts w:eastAsia="Calibri" w:cs="Calibri"/>
          <w:szCs w:val="22"/>
          <w:lang w:eastAsia="en-US"/>
        </w:rPr>
        <w:t xml:space="preserve"> ning esitades vaidlustuse 20 tööpäeva jooksul</w:t>
      </w:r>
      <w:r>
        <w:rPr>
          <w:rFonts w:eastAsia="Calibri" w:cs="Calibri"/>
          <w:szCs w:val="22"/>
          <w:lang w:eastAsia="en-US"/>
        </w:rPr>
        <w:t>.</w:t>
      </w:r>
    </w:p>
    <w:p w14:paraId="158D6C87" w14:textId="77777777" w:rsidR="00732606" w:rsidRPr="00BB5953" w:rsidRDefault="00732606" w:rsidP="00732606">
      <w:pPr>
        <w:numPr>
          <w:ilvl w:val="1"/>
          <w:numId w:val="15"/>
        </w:numPr>
        <w:spacing w:after="160" w:line="259" w:lineRule="auto"/>
        <w:contextualSpacing/>
        <w:rPr>
          <w:rFonts w:eastAsia="Calibri" w:cs="Calibri"/>
          <w:szCs w:val="22"/>
          <w:lang w:eastAsia="en-US"/>
        </w:rPr>
      </w:pPr>
      <w:r w:rsidRPr="00BB5953">
        <w:rPr>
          <w:rFonts w:eastAsia="Calibri" w:cs="Calibri"/>
          <w:szCs w:val="22"/>
          <w:lang w:eastAsia="en-US"/>
        </w:rPr>
        <w:t xml:space="preserve">Lepitusmenetluse teise astme lahendaja on lepituskomisjon (varem ja edaspidi </w:t>
      </w:r>
      <w:r w:rsidRPr="00BB5953">
        <w:rPr>
          <w:rFonts w:eastAsia="Calibri" w:cs="Calibri"/>
          <w:i/>
          <w:szCs w:val="22"/>
          <w:lang w:eastAsia="en-US"/>
        </w:rPr>
        <w:t>komisjon</w:t>
      </w:r>
      <w:r w:rsidRPr="00BB5953">
        <w:rPr>
          <w:rFonts w:eastAsia="Calibri" w:cs="Calibri"/>
          <w:szCs w:val="22"/>
          <w:lang w:eastAsia="en-US"/>
        </w:rPr>
        <w:t>).</w:t>
      </w:r>
    </w:p>
    <w:p w14:paraId="6D892B0A" w14:textId="77777777" w:rsidR="00732606" w:rsidRPr="00BB5953" w:rsidRDefault="00732606" w:rsidP="00732606">
      <w:pPr>
        <w:numPr>
          <w:ilvl w:val="1"/>
          <w:numId w:val="15"/>
        </w:numPr>
        <w:spacing w:after="160" w:line="259" w:lineRule="auto"/>
        <w:contextualSpacing/>
        <w:rPr>
          <w:rFonts w:eastAsia="Calibri" w:cs="Calibri"/>
          <w:szCs w:val="22"/>
          <w:lang w:eastAsia="en-US"/>
        </w:rPr>
      </w:pPr>
      <w:r w:rsidRPr="00BB5953">
        <w:rPr>
          <w:rFonts w:eastAsia="Calibri" w:cs="Calibri"/>
          <w:szCs w:val="22"/>
          <w:lang w:eastAsia="en-US"/>
        </w:rPr>
        <w:t>Komisjoni koosseisu kuuluvad siseauditi</w:t>
      </w:r>
      <w:r>
        <w:rPr>
          <w:rFonts w:eastAsia="Calibri" w:cs="Calibri"/>
          <w:szCs w:val="22"/>
          <w:lang w:eastAsia="en-US"/>
        </w:rPr>
        <w:t xml:space="preserve"> büroo</w:t>
      </w:r>
      <w:r w:rsidRPr="00BB5953">
        <w:rPr>
          <w:rFonts w:eastAsia="Calibri" w:cs="Calibri"/>
          <w:szCs w:val="22"/>
          <w:lang w:eastAsia="en-US"/>
        </w:rPr>
        <w:t xml:space="preserve"> juh</w:t>
      </w:r>
      <w:r>
        <w:rPr>
          <w:rFonts w:eastAsia="Calibri" w:cs="Calibri"/>
          <w:szCs w:val="22"/>
          <w:lang w:eastAsia="en-US"/>
        </w:rPr>
        <w:t>a</w:t>
      </w:r>
      <w:r w:rsidRPr="00BB5953">
        <w:rPr>
          <w:rFonts w:eastAsia="Calibri" w:cs="Calibri"/>
          <w:szCs w:val="22"/>
          <w:lang w:eastAsia="en-US"/>
        </w:rPr>
        <w:t>t</w:t>
      </w:r>
      <w:r>
        <w:rPr>
          <w:rFonts w:eastAsia="Calibri" w:cs="Calibri"/>
          <w:szCs w:val="22"/>
          <w:lang w:eastAsia="en-US"/>
        </w:rPr>
        <w:t>aja</w:t>
      </w:r>
      <w:r w:rsidRPr="00BB5953">
        <w:rPr>
          <w:rFonts w:eastAsia="Calibri" w:cs="Calibri"/>
          <w:szCs w:val="22"/>
          <w:lang w:eastAsia="en-US"/>
        </w:rPr>
        <w:t xml:space="preserve">, </w:t>
      </w:r>
      <w:r>
        <w:rPr>
          <w:rFonts w:eastAsia="Calibri" w:cs="Calibri"/>
          <w:szCs w:val="22"/>
          <w:lang w:eastAsia="en-US"/>
        </w:rPr>
        <w:t>juhtiv</w:t>
      </w:r>
      <w:r w:rsidRPr="00BB5953">
        <w:rPr>
          <w:rFonts w:eastAsia="Calibri" w:cs="Calibri"/>
          <w:szCs w:val="22"/>
          <w:lang w:eastAsia="en-US"/>
        </w:rPr>
        <w:t>jurist ja personaliosakonna juhataja (nende äraolekul nende asendajad), samuti akadeemilise personali esindaja</w:t>
      </w:r>
      <w:r>
        <w:rPr>
          <w:rFonts w:eastAsia="Calibri" w:cs="Calibri"/>
          <w:szCs w:val="22"/>
          <w:lang w:eastAsia="en-US"/>
        </w:rPr>
        <w:t>,</w:t>
      </w:r>
      <w:r w:rsidRPr="00BB5953">
        <w:rPr>
          <w:rFonts w:eastAsia="Calibri" w:cs="Calibri"/>
          <w:szCs w:val="22"/>
          <w:lang w:eastAsia="en-US"/>
        </w:rPr>
        <w:t xml:space="preserve"> kes ei ole seotud osapooltega</w:t>
      </w:r>
      <w:r>
        <w:rPr>
          <w:rFonts w:eastAsia="Calibri" w:cs="Calibri"/>
          <w:szCs w:val="22"/>
          <w:lang w:eastAsia="en-US"/>
        </w:rPr>
        <w:t xml:space="preserve"> ning kes kutsutakse komisjoni poolt osalema selle töös ühes konkreetses menetluses</w:t>
      </w:r>
      <w:r w:rsidRPr="00BB5953">
        <w:rPr>
          <w:rFonts w:eastAsia="Calibri" w:cs="Calibri"/>
          <w:szCs w:val="22"/>
          <w:lang w:eastAsia="en-US"/>
        </w:rPr>
        <w:t>. Komisjoni tööd juhib siseauditi</w:t>
      </w:r>
      <w:r>
        <w:rPr>
          <w:rFonts w:eastAsia="Calibri" w:cs="Calibri"/>
          <w:szCs w:val="22"/>
          <w:lang w:eastAsia="en-US"/>
        </w:rPr>
        <w:t xml:space="preserve"> büroo</w:t>
      </w:r>
      <w:r w:rsidRPr="00BB5953">
        <w:rPr>
          <w:rFonts w:eastAsia="Calibri" w:cs="Calibri"/>
          <w:szCs w:val="22"/>
          <w:lang w:eastAsia="en-US"/>
        </w:rPr>
        <w:t xml:space="preserve"> juh</w:t>
      </w:r>
      <w:r>
        <w:rPr>
          <w:rFonts w:eastAsia="Calibri" w:cs="Calibri"/>
          <w:szCs w:val="22"/>
          <w:lang w:eastAsia="en-US"/>
        </w:rPr>
        <w:t>a</w:t>
      </w:r>
      <w:r w:rsidRPr="00BB5953">
        <w:rPr>
          <w:rFonts w:eastAsia="Calibri" w:cs="Calibri"/>
          <w:szCs w:val="22"/>
          <w:lang w:eastAsia="en-US"/>
        </w:rPr>
        <w:t>t</w:t>
      </w:r>
      <w:r>
        <w:rPr>
          <w:rFonts w:eastAsia="Calibri" w:cs="Calibri"/>
          <w:szCs w:val="22"/>
          <w:lang w:eastAsia="en-US"/>
        </w:rPr>
        <w:t>aja</w:t>
      </w:r>
      <w:r w:rsidRPr="00BB5953">
        <w:rPr>
          <w:rFonts w:eastAsia="Calibri" w:cs="Calibri"/>
          <w:szCs w:val="22"/>
          <w:lang w:eastAsia="en-US"/>
        </w:rPr>
        <w:t xml:space="preserve">. </w:t>
      </w:r>
    </w:p>
    <w:p w14:paraId="42452115" w14:textId="77777777" w:rsidR="00732606" w:rsidRPr="00BB5953" w:rsidRDefault="00732606" w:rsidP="00732606">
      <w:pPr>
        <w:numPr>
          <w:ilvl w:val="1"/>
          <w:numId w:val="15"/>
        </w:numPr>
        <w:spacing w:after="160" w:line="259" w:lineRule="auto"/>
        <w:contextualSpacing/>
        <w:rPr>
          <w:rFonts w:eastAsia="Calibri" w:cs="Calibri"/>
          <w:szCs w:val="22"/>
          <w:lang w:eastAsia="en-US"/>
        </w:rPr>
      </w:pPr>
      <w:r w:rsidRPr="00BB5953">
        <w:rPr>
          <w:rFonts w:eastAsia="Calibri" w:cs="Calibri"/>
          <w:szCs w:val="22"/>
          <w:lang w:eastAsia="en-US"/>
        </w:rPr>
        <w:t xml:space="preserve">Komisjoni töös ei osale isikud, kellel on lepitusmenetluse suhtes isiklikud otsesed või kaudsed huvid. Komisjoni liige taandab ennast sel juhul menetlusest. Komisjonil on alati õigus kaasata oma töösse </w:t>
      </w:r>
      <w:r>
        <w:rPr>
          <w:rFonts w:eastAsia="Calibri" w:cs="Calibri"/>
          <w:szCs w:val="22"/>
          <w:lang w:eastAsia="en-US"/>
        </w:rPr>
        <w:t>teisi,</w:t>
      </w:r>
      <w:r w:rsidRPr="00BB5953">
        <w:rPr>
          <w:rFonts w:eastAsia="Calibri" w:cs="Calibri"/>
          <w:szCs w:val="22"/>
          <w:lang w:eastAsia="en-US"/>
        </w:rPr>
        <w:t xml:space="preserve"> komisjoni arvates vajalikke isikuid.</w:t>
      </w:r>
    </w:p>
    <w:p w14:paraId="7113059B" w14:textId="77777777" w:rsidR="00732606" w:rsidRPr="00BB5953" w:rsidRDefault="00732606" w:rsidP="00732606">
      <w:pPr>
        <w:numPr>
          <w:ilvl w:val="1"/>
          <w:numId w:val="15"/>
        </w:numPr>
        <w:spacing w:after="160" w:line="259" w:lineRule="auto"/>
        <w:contextualSpacing/>
        <w:rPr>
          <w:rFonts w:eastAsia="Calibri" w:cs="Calibri"/>
          <w:szCs w:val="22"/>
          <w:lang w:eastAsia="en-US"/>
        </w:rPr>
      </w:pPr>
      <w:r w:rsidRPr="00BB5953">
        <w:rPr>
          <w:rFonts w:eastAsia="Calibri" w:cs="Calibri"/>
          <w:szCs w:val="22"/>
          <w:lang w:eastAsia="en-US"/>
        </w:rPr>
        <w:t>Komisjon:</w:t>
      </w:r>
    </w:p>
    <w:p w14:paraId="01CB097E" w14:textId="77777777"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teeb pärast avalduse saamist ja registreerimist</w:t>
      </w:r>
      <w:r>
        <w:rPr>
          <w:rFonts w:eastAsia="Calibri" w:cs="Calibri"/>
          <w:szCs w:val="22"/>
          <w:lang w:eastAsia="en-US"/>
        </w:rPr>
        <w:t xml:space="preserve">, kui seda veel ei ole registreeritud vastavalt käesoleva korra punktile 3.3, </w:t>
      </w:r>
      <w:r w:rsidRPr="00BB5953">
        <w:rPr>
          <w:rFonts w:eastAsia="Calibri" w:cs="Calibri"/>
          <w:szCs w:val="22"/>
          <w:lang w:eastAsia="en-US"/>
        </w:rPr>
        <w:t>esialgse otsuse vaidluse allumise kohta komisjonile;</w:t>
      </w:r>
    </w:p>
    <w:p w14:paraId="6537D5C0" w14:textId="77777777" w:rsidR="00732606" w:rsidRPr="00157B2E" w:rsidRDefault="00732606" w:rsidP="00732606">
      <w:pPr>
        <w:numPr>
          <w:ilvl w:val="2"/>
          <w:numId w:val="15"/>
        </w:numPr>
        <w:spacing w:after="160" w:line="259" w:lineRule="auto"/>
        <w:contextualSpacing/>
        <w:rPr>
          <w:rFonts w:eastAsia="Calibri" w:cs="Calibri"/>
          <w:szCs w:val="22"/>
          <w:lang w:eastAsia="en-US"/>
        </w:rPr>
      </w:pPr>
      <w:r w:rsidRPr="00157B2E">
        <w:rPr>
          <w:rFonts w:eastAsia="Calibri" w:cs="Calibri"/>
          <w:szCs w:val="22"/>
          <w:lang w:eastAsia="en-US"/>
        </w:rPr>
        <w:t xml:space="preserve">küsib akadeemilise eetika komisjoni arvamust, kui menetluse alustamisel või käigus ilmneb, et tegemist võib olla akadeemilise eetika küsimusega, samuti teeb vajadusel igakülgset ja aktiivset koostööd akadeemilise eetika komisjoniga; </w:t>
      </w:r>
    </w:p>
    <w:p w14:paraId="2A1022AF" w14:textId="77777777"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vajadusel kas kogub ise või hindab olemasolevaid tõendeid, kuulab ära asjaosalised, kaasab vajadusel eksperte ja seotud isikuid;</w:t>
      </w:r>
    </w:p>
    <w:p w14:paraId="480F6EB0" w14:textId="77777777"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lahendab konflikti ja lepitab osapooli;</w:t>
      </w:r>
    </w:p>
    <w:p w14:paraId="13162AFC" w14:textId="77777777"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 xml:space="preserve">teeb otsuse nii kiiresti kui võimalik, kuid mitte hiljem, kui 15 </w:t>
      </w:r>
      <w:r>
        <w:rPr>
          <w:rFonts w:eastAsia="Calibri" w:cs="Calibri"/>
          <w:szCs w:val="22"/>
          <w:lang w:eastAsia="en-US"/>
        </w:rPr>
        <w:t>töö</w:t>
      </w:r>
      <w:r w:rsidRPr="00BB5953">
        <w:rPr>
          <w:rFonts w:eastAsia="Calibri" w:cs="Calibri"/>
          <w:szCs w:val="22"/>
          <w:lang w:eastAsia="en-US"/>
        </w:rPr>
        <w:t>päeva jooksul</w:t>
      </w:r>
      <w:r>
        <w:rPr>
          <w:rFonts w:eastAsia="Calibri" w:cs="Calibri"/>
          <w:szCs w:val="22"/>
          <w:lang w:eastAsia="en-US"/>
        </w:rPr>
        <w:t>. Kui otsuse tegemine 15 tööpäeva jooksul ei ole võimalik, siis võib komisjon pikendada otsuse tegemise aega kokku kuni 60 tööpäevani</w:t>
      </w:r>
      <w:r w:rsidRPr="00BB5953">
        <w:rPr>
          <w:rFonts w:eastAsia="Calibri" w:cs="Calibri"/>
          <w:szCs w:val="22"/>
          <w:lang w:eastAsia="en-US"/>
        </w:rPr>
        <w:t>;</w:t>
      </w:r>
    </w:p>
    <w:p w14:paraId="547BBF3E" w14:textId="77777777"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 xml:space="preserve">teavitab asjaosalisi otsusest kirjalikku taasesitamist võimaldavas vormis hiljemalt 5 </w:t>
      </w:r>
      <w:r>
        <w:rPr>
          <w:rFonts w:eastAsia="Calibri" w:cs="Calibri"/>
          <w:szCs w:val="22"/>
          <w:lang w:eastAsia="en-US"/>
        </w:rPr>
        <w:t>töö</w:t>
      </w:r>
      <w:r w:rsidRPr="00BB5953">
        <w:rPr>
          <w:rFonts w:eastAsia="Calibri" w:cs="Calibri"/>
          <w:szCs w:val="22"/>
          <w:lang w:eastAsia="en-US"/>
        </w:rPr>
        <w:t>päeva jooksul otsuse tegemisest;</w:t>
      </w:r>
    </w:p>
    <w:p w14:paraId="2A64821E" w14:textId="77777777" w:rsidR="00732606" w:rsidRPr="00BB5953" w:rsidRDefault="00732606" w:rsidP="00732606">
      <w:pPr>
        <w:numPr>
          <w:ilvl w:val="2"/>
          <w:numId w:val="15"/>
        </w:numPr>
        <w:spacing w:after="160" w:line="259" w:lineRule="auto"/>
        <w:contextualSpacing/>
        <w:rPr>
          <w:rFonts w:eastAsia="Calibri" w:cs="Calibri"/>
          <w:szCs w:val="22"/>
          <w:lang w:eastAsia="en-US"/>
        </w:rPr>
      </w:pPr>
      <w:r w:rsidRPr="00BB5953">
        <w:rPr>
          <w:rFonts w:eastAsia="Calibri" w:cs="Calibri"/>
          <w:szCs w:val="22"/>
          <w:lang w:eastAsia="en-US"/>
        </w:rPr>
        <w:t>edastab tehtud otsuse täitmiseks esimesele astmele ja vajadusel tööandja esindajale;</w:t>
      </w:r>
    </w:p>
    <w:p w14:paraId="6CE09582" w14:textId="4D86B0CF" w:rsidR="00732606" w:rsidRPr="00BB5953" w:rsidRDefault="00AB6DA5" w:rsidP="00732606">
      <w:pPr>
        <w:numPr>
          <w:ilvl w:val="2"/>
          <w:numId w:val="15"/>
        </w:numPr>
        <w:spacing w:after="160" w:line="259" w:lineRule="auto"/>
        <w:contextualSpacing/>
        <w:rPr>
          <w:rFonts w:eastAsia="Calibri" w:cs="Calibri"/>
          <w:szCs w:val="22"/>
          <w:lang w:eastAsia="en-US"/>
        </w:rPr>
      </w:pPr>
      <w:r w:rsidRPr="007C5E0F">
        <w:rPr>
          <w:rFonts w:eastAsia="Calibri" w:cs="Calibri"/>
          <w:szCs w:val="22"/>
          <w:lang w:eastAsia="en-US"/>
        </w:rPr>
        <w:lastRenderedPageBreak/>
        <w:t>edastab</w:t>
      </w:r>
      <w:r w:rsidR="00732606" w:rsidRPr="007C5E0F">
        <w:rPr>
          <w:rFonts w:eastAsia="Calibri" w:cs="Calibri"/>
          <w:szCs w:val="22"/>
          <w:lang w:eastAsia="en-US"/>
        </w:rPr>
        <w:t xml:space="preserve"> kuriteo tunnuste ilmnemisel</w:t>
      </w:r>
      <w:r w:rsidR="000C59C5" w:rsidRPr="007C5E0F">
        <w:rPr>
          <w:rFonts w:eastAsia="Calibri" w:cs="Calibri"/>
          <w:szCs w:val="22"/>
          <w:lang w:eastAsia="en-US"/>
        </w:rPr>
        <w:t xml:space="preserve"> </w:t>
      </w:r>
      <w:r w:rsidRPr="007C5E0F">
        <w:rPr>
          <w:rFonts w:eastAsia="Calibri" w:cs="Calibri"/>
          <w:szCs w:val="22"/>
          <w:lang w:eastAsia="en-US"/>
        </w:rPr>
        <w:t xml:space="preserve">informatsiooni juhtivjuristile </w:t>
      </w:r>
      <w:r w:rsidR="007C5E0F" w:rsidRPr="007C5E0F">
        <w:rPr>
          <w:rFonts w:eastAsia="Calibri" w:cs="Calibri"/>
          <w:szCs w:val="22"/>
          <w:lang w:eastAsia="en-US"/>
        </w:rPr>
        <w:t xml:space="preserve">või tema asendajale </w:t>
      </w:r>
      <w:r w:rsidR="00732606" w:rsidRPr="007C5E0F">
        <w:rPr>
          <w:rFonts w:eastAsia="Calibri" w:cs="Calibri"/>
          <w:szCs w:val="22"/>
          <w:lang w:eastAsia="en-US"/>
        </w:rPr>
        <w:t>kuriteoteate</w:t>
      </w:r>
      <w:r w:rsidR="007C5E0F" w:rsidRPr="007C5E0F">
        <w:rPr>
          <w:rFonts w:eastAsia="Calibri" w:cs="Calibri"/>
          <w:szCs w:val="22"/>
          <w:lang w:eastAsia="en-US"/>
        </w:rPr>
        <w:t xml:space="preserve"> </w:t>
      </w:r>
      <w:r w:rsidR="00C644D9" w:rsidRPr="00C644D9">
        <w:rPr>
          <w:rFonts w:eastAsia="Calibri" w:cs="Calibri"/>
          <w:szCs w:val="22"/>
          <w:lang w:eastAsia="en-US"/>
        </w:rPr>
        <w:t>uurimisasutusele või prokuratuurile</w:t>
      </w:r>
      <w:r w:rsidR="00C644D9">
        <w:rPr>
          <w:rFonts w:eastAsia="Calibri" w:cs="Calibri"/>
          <w:szCs w:val="22"/>
          <w:lang w:eastAsia="en-US"/>
        </w:rPr>
        <w:t xml:space="preserve"> </w:t>
      </w:r>
      <w:r w:rsidR="007C5E0F" w:rsidRPr="007C5E0F">
        <w:rPr>
          <w:rFonts w:eastAsia="Calibri" w:cs="Calibri"/>
          <w:szCs w:val="22"/>
          <w:lang w:eastAsia="en-US"/>
        </w:rPr>
        <w:t>esitamiseks</w:t>
      </w:r>
      <w:r w:rsidR="00732606" w:rsidRPr="007C5E0F">
        <w:rPr>
          <w:rFonts w:eastAsia="Calibri" w:cs="Calibri"/>
          <w:szCs w:val="22"/>
          <w:lang w:eastAsia="en-US"/>
        </w:rPr>
        <w:t>.</w:t>
      </w:r>
    </w:p>
    <w:p w14:paraId="7ED4898B" w14:textId="77777777" w:rsidR="00732606" w:rsidRPr="00BB5953" w:rsidRDefault="00732606" w:rsidP="00732606">
      <w:pPr>
        <w:spacing w:after="160" w:line="259" w:lineRule="auto"/>
        <w:ind w:left="1068"/>
        <w:contextualSpacing/>
        <w:rPr>
          <w:rFonts w:eastAsia="Calibri" w:cs="Calibri"/>
          <w:szCs w:val="22"/>
          <w:lang w:eastAsia="en-US"/>
        </w:rPr>
      </w:pPr>
    </w:p>
    <w:p w14:paraId="3AAD9A4C" w14:textId="77777777" w:rsidR="00732606" w:rsidRPr="00BB5953" w:rsidRDefault="00732606" w:rsidP="00732606">
      <w:pPr>
        <w:numPr>
          <w:ilvl w:val="0"/>
          <w:numId w:val="13"/>
        </w:numPr>
        <w:spacing w:after="160" w:line="259" w:lineRule="auto"/>
        <w:contextualSpacing/>
        <w:rPr>
          <w:rFonts w:eastAsia="Calibri" w:cs="Calibri"/>
          <w:b/>
          <w:szCs w:val="22"/>
          <w:lang w:eastAsia="en-US"/>
        </w:rPr>
      </w:pPr>
      <w:r w:rsidRPr="00BB5953">
        <w:rPr>
          <w:rFonts w:eastAsia="Calibri" w:cs="Calibri"/>
          <w:b/>
          <w:szCs w:val="22"/>
          <w:lang w:eastAsia="en-US"/>
        </w:rPr>
        <w:t>USALDUSISIK</w:t>
      </w:r>
    </w:p>
    <w:p w14:paraId="310538BE" w14:textId="77777777" w:rsidR="00732606" w:rsidRPr="00BB5953" w:rsidRDefault="00732606" w:rsidP="00732606">
      <w:pPr>
        <w:numPr>
          <w:ilvl w:val="1"/>
          <w:numId w:val="17"/>
        </w:numPr>
        <w:spacing w:after="160" w:line="259" w:lineRule="auto"/>
        <w:contextualSpacing/>
        <w:rPr>
          <w:rFonts w:eastAsia="Calibri" w:cs="Calibri"/>
          <w:szCs w:val="22"/>
          <w:lang w:eastAsia="en-US"/>
        </w:rPr>
      </w:pPr>
      <w:r w:rsidRPr="00BB5953">
        <w:rPr>
          <w:rFonts w:eastAsia="Calibri" w:cs="Calibri"/>
          <w:szCs w:val="22"/>
          <w:lang w:eastAsia="en-US"/>
        </w:rPr>
        <w:t xml:space="preserve">Komisjon võib soovitada lepitusmenetluse osapoolele </w:t>
      </w:r>
      <w:r>
        <w:rPr>
          <w:rFonts w:eastAsia="Calibri" w:cs="Calibri"/>
          <w:szCs w:val="22"/>
          <w:lang w:eastAsia="en-US"/>
        </w:rPr>
        <w:t>ülikooli liikmeskonnast valitud usaldusisiku kaasamist</w:t>
      </w:r>
      <w:r w:rsidRPr="00BB5953">
        <w:rPr>
          <w:rFonts w:eastAsia="Calibri" w:cs="Calibri"/>
          <w:szCs w:val="22"/>
          <w:lang w:eastAsia="en-US"/>
        </w:rPr>
        <w:t>,</w:t>
      </w:r>
      <w:r w:rsidRPr="00BB5953">
        <w:rPr>
          <w:rFonts w:eastAsia="Calibri" w:cs="Calibri"/>
          <w:b/>
          <w:i/>
          <w:szCs w:val="22"/>
          <w:lang w:eastAsia="en-US"/>
        </w:rPr>
        <w:t xml:space="preserve"> </w:t>
      </w:r>
      <w:r w:rsidRPr="00BB5953">
        <w:rPr>
          <w:rFonts w:eastAsia="Calibri" w:cs="Calibri"/>
          <w:szCs w:val="22"/>
          <w:lang w:eastAsia="en-US"/>
        </w:rPr>
        <w:t xml:space="preserve">kes võib osaleda lepitusmenetluses, kui see ei riiva usaldusisiku poole pöördunud osapoole huve. </w:t>
      </w:r>
    </w:p>
    <w:p w14:paraId="305E906A" w14:textId="77777777" w:rsidR="00732606" w:rsidRPr="00BB5953" w:rsidRDefault="00732606" w:rsidP="00732606">
      <w:pPr>
        <w:numPr>
          <w:ilvl w:val="1"/>
          <w:numId w:val="17"/>
        </w:numPr>
        <w:spacing w:after="160" w:line="259" w:lineRule="auto"/>
        <w:contextualSpacing/>
        <w:rPr>
          <w:rFonts w:eastAsia="Calibri" w:cs="Calibri"/>
          <w:szCs w:val="22"/>
          <w:lang w:eastAsia="en-US"/>
        </w:rPr>
      </w:pPr>
      <w:r w:rsidRPr="00BB5953">
        <w:rPr>
          <w:rFonts w:eastAsia="Calibri" w:cs="Calibri"/>
          <w:szCs w:val="22"/>
          <w:lang w:eastAsia="en-US"/>
        </w:rPr>
        <w:t xml:space="preserve">Usaldusisik on inimene, kelle osapool on valinud oma esindajaks suhtlemisel lepitusmenetluses. Usaldusisiku peamine ülesanne on toimida vahendajana esindatava osapoole ning teise osapoole ja menetluse läbiviija vahel, edastada olulist teavet ja ettepanekuid, aidata pakkuda lahendusi kerkinud probleemidele. </w:t>
      </w:r>
    </w:p>
    <w:p w14:paraId="36D6FF9C" w14:textId="614158AB" w:rsidR="00732606" w:rsidRPr="00BB5953" w:rsidRDefault="00732606" w:rsidP="00732606">
      <w:pPr>
        <w:numPr>
          <w:ilvl w:val="1"/>
          <w:numId w:val="17"/>
        </w:numPr>
        <w:spacing w:after="160" w:line="259" w:lineRule="auto"/>
        <w:contextualSpacing/>
        <w:rPr>
          <w:rFonts w:eastAsia="Calibri" w:cs="Calibri"/>
          <w:szCs w:val="22"/>
          <w:lang w:eastAsia="en-US"/>
        </w:rPr>
      </w:pPr>
      <w:r w:rsidRPr="00BB5953">
        <w:rPr>
          <w:rFonts w:eastAsia="Calibri" w:cs="Calibri"/>
          <w:szCs w:val="22"/>
          <w:lang w:eastAsia="en-US"/>
        </w:rPr>
        <w:t>Usaldusisik on kohustatud hoidma saladuses talle lepitusmenetluse raames teatavaks saanud konfidentsiaalset informatsiooni.</w:t>
      </w:r>
      <w:r>
        <w:rPr>
          <w:rFonts w:eastAsia="Calibri" w:cs="Calibri"/>
          <w:szCs w:val="22"/>
          <w:lang w:eastAsia="en-US"/>
        </w:rPr>
        <w:t xml:space="preserve"> Väljastpoolt ülikooli kaasatud usaldusisikule võib juhtivjurist </w:t>
      </w:r>
      <w:r w:rsidR="00D159F1">
        <w:rPr>
          <w:rFonts w:eastAsia="Calibri" w:cs="Calibri"/>
          <w:szCs w:val="22"/>
          <w:lang w:eastAsia="en-US"/>
        </w:rPr>
        <w:t xml:space="preserve">lepitusmenetluses osalemiseks </w:t>
      </w:r>
      <w:r>
        <w:rPr>
          <w:rFonts w:eastAsia="Calibri" w:cs="Calibri"/>
          <w:szCs w:val="22"/>
          <w:lang w:eastAsia="en-US"/>
        </w:rPr>
        <w:t>seada eeltingimusi (nt konfidentsiaalsuslepingu sõlmimise).</w:t>
      </w:r>
    </w:p>
    <w:p w14:paraId="7118D9FD" w14:textId="77777777" w:rsidR="00732606" w:rsidRPr="00BB5953" w:rsidRDefault="00732606" w:rsidP="00732606">
      <w:pPr>
        <w:numPr>
          <w:ilvl w:val="1"/>
          <w:numId w:val="17"/>
        </w:numPr>
        <w:spacing w:after="160" w:line="259" w:lineRule="auto"/>
        <w:contextualSpacing/>
        <w:rPr>
          <w:rFonts w:eastAsia="Calibri" w:cs="Calibri"/>
          <w:szCs w:val="22"/>
          <w:lang w:eastAsia="en-US"/>
        </w:rPr>
      </w:pPr>
      <w:r w:rsidRPr="00E64916">
        <w:rPr>
          <w:rFonts w:eastAsia="Calibri" w:cs="Calibri"/>
          <w:szCs w:val="22"/>
          <w:lang w:eastAsia="en-US"/>
        </w:rPr>
        <w:t>Usaldusisikuks ei või olla teise osapoolega</w:t>
      </w:r>
      <w:r w:rsidRPr="00BB5953">
        <w:rPr>
          <w:rFonts w:eastAsia="Calibri" w:cs="Calibri"/>
          <w:szCs w:val="22"/>
          <w:lang w:eastAsia="en-US"/>
        </w:rPr>
        <w:t xml:space="preserve"> konfliktis olev isik</w:t>
      </w:r>
      <w:r>
        <w:rPr>
          <w:rFonts w:eastAsia="Calibri" w:cs="Calibri"/>
          <w:szCs w:val="22"/>
          <w:lang w:eastAsia="en-US"/>
        </w:rPr>
        <w:t>,</w:t>
      </w:r>
      <w:r w:rsidRPr="00E64916">
        <w:t xml:space="preserve"> </w:t>
      </w:r>
      <w:r w:rsidRPr="00E64916">
        <w:rPr>
          <w:rFonts w:eastAsia="Calibri" w:cs="Calibri"/>
          <w:szCs w:val="22"/>
          <w:lang w:eastAsia="en-US"/>
        </w:rPr>
        <w:t>samuti isik, keda teine osapool ei aktsepteeri usaldusisikuna</w:t>
      </w:r>
      <w:r w:rsidRPr="00BB5953">
        <w:rPr>
          <w:rFonts w:eastAsia="Calibri" w:cs="Calibri"/>
          <w:szCs w:val="22"/>
          <w:lang w:eastAsia="en-US"/>
        </w:rPr>
        <w:t xml:space="preserve">. </w:t>
      </w:r>
    </w:p>
    <w:p w14:paraId="616FA257" w14:textId="77777777" w:rsidR="00732606" w:rsidRPr="00BB5953" w:rsidRDefault="00732606" w:rsidP="00732606">
      <w:pPr>
        <w:spacing w:after="160" w:line="259" w:lineRule="auto"/>
        <w:ind w:left="360"/>
        <w:contextualSpacing/>
        <w:rPr>
          <w:rFonts w:eastAsia="Calibri" w:cs="Calibri"/>
          <w:szCs w:val="22"/>
          <w:lang w:eastAsia="en-US"/>
        </w:rPr>
      </w:pPr>
    </w:p>
    <w:p w14:paraId="12B3BEF2" w14:textId="77777777" w:rsidR="00732606" w:rsidRPr="00BB5953" w:rsidRDefault="00732606" w:rsidP="00D42564">
      <w:pPr>
        <w:spacing w:after="160" w:line="259" w:lineRule="auto"/>
        <w:contextualSpacing/>
        <w:rPr>
          <w:rFonts w:eastAsia="Calibri" w:cs="Calibri"/>
          <w:b/>
          <w:szCs w:val="22"/>
          <w:lang w:eastAsia="en-US"/>
        </w:rPr>
      </w:pPr>
      <w:r w:rsidRPr="00BB5953">
        <w:rPr>
          <w:rFonts w:eastAsia="Calibri" w:cs="Calibri"/>
          <w:b/>
          <w:szCs w:val="22"/>
          <w:lang w:eastAsia="en-US"/>
        </w:rPr>
        <w:t>5. MUUD TINGIMUSED</w:t>
      </w:r>
    </w:p>
    <w:p w14:paraId="14B10D81" w14:textId="77777777" w:rsidR="00732606" w:rsidRPr="00BB5953" w:rsidRDefault="00732606" w:rsidP="00732606">
      <w:pPr>
        <w:numPr>
          <w:ilvl w:val="1"/>
          <w:numId w:val="18"/>
        </w:numPr>
        <w:spacing w:after="160" w:line="259" w:lineRule="auto"/>
        <w:contextualSpacing/>
        <w:rPr>
          <w:rFonts w:eastAsia="Calibri" w:cs="Calibri"/>
          <w:szCs w:val="22"/>
          <w:lang w:eastAsia="en-US"/>
        </w:rPr>
      </w:pPr>
      <w:r w:rsidRPr="004A5302">
        <w:rPr>
          <w:rFonts w:eastAsia="Calibri" w:cs="Calibri"/>
          <w:szCs w:val="22"/>
          <w:lang w:eastAsia="en-US"/>
        </w:rPr>
        <w:t>Kõigil korra punktis 1.3 märgitud isikutel on õigus pöörduda</w:t>
      </w:r>
      <w:r w:rsidRPr="00BB5953">
        <w:rPr>
          <w:rFonts w:eastAsia="Calibri" w:cs="Calibri"/>
          <w:szCs w:val="22"/>
          <w:lang w:eastAsia="en-US"/>
        </w:rPr>
        <w:t xml:space="preserve"> komisjoni, et saada selgust, kuhu oma probleemiga pöörduda juhul,  kui isik ei oska otsustada, kuidas sellega edasi minna.</w:t>
      </w:r>
    </w:p>
    <w:p w14:paraId="1D9D91A4" w14:textId="17250B68" w:rsidR="0098699A" w:rsidRPr="003B5C56" w:rsidRDefault="00732606" w:rsidP="003B5C56">
      <w:pPr>
        <w:numPr>
          <w:ilvl w:val="1"/>
          <w:numId w:val="18"/>
        </w:numPr>
        <w:spacing w:after="160" w:line="259" w:lineRule="auto"/>
        <w:contextualSpacing/>
        <w:rPr>
          <w:rFonts w:eastAsia="Calibri" w:cs="Calibri"/>
          <w:szCs w:val="22"/>
          <w:lang w:eastAsia="en-US"/>
        </w:rPr>
      </w:pPr>
      <w:r w:rsidRPr="00BB5953">
        <w:rPr>
          <w:rFonts w:eastAsia="Calibri" w:cs="Calibri"/>
          <w:szCs w:val="22"/>
          <w:lang w:eastAsia="en-US"/>
        </w:rPr>
        <w:t>Lepitusmenetluse osapoole soovil pakub ülikool talle psühholoogilist tuge, mida osutatakse ülikooli kulul.</w:t>
      </w:r>
    </w:p>
    <w:p w14:paraId="40E8FBB2" w14:textId="77777777" w:rsidR="00266E9B" w:rsidRPr="001C72DD" w:rsidRDefault="00266E9B" w:rsidP="00174FF5"/>
    <w:sectPr w:rsidR="00266E9B" w:rsidRPr="001C72DD" w:rsidSect="0098699A">
      <w:headerReference w:type="even" r:id="rId7"/>
      <w:headerReference w:type="default" r:id="rId8"/>
      <w:footerReference w:type="even" r:id="rId9"/>
      <w:pgSz w:w="11906" w:h="16838" w:code="9"/>
      <w:pgMar w:top="680" w:right="851" w:bottom="680" w:left="1701" w:header="397" w:footer="51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E2535" w14:textId="77777777" w:rsidR="001E1C49" w:rsidRDefault="001E1C49">
      <w:r>
        <w:separator/>
      </w:r>
    </w:p>
  </w:endnote>
  <w:endnote w:type="continuationSeparator" w:id="0">
    <w:p w14:paraId="217BF614" w14:textId="77777777" w:rsidR="001E1C49" w:rsidRDefault="001E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979F" w14:textId="77777777" w:rsidR="00060A9F" w:rsidRDefault="006D0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7A98DC" w14:textId="77777777" w:rsidR="00060A9F" w:rsidRDefault="00060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8CD5E" w14:textId="77777777" w:rsidR="001E1C49" w:rsidRDefault="001E1C49">
      <w:r>
        <w:separator/>
      </w:r>
    </w:p>
  </w:footnote>
  <w:footnote w:type="continuationSeparator" w:id="0">
    <w:p w14:paraId="0E59A09C" w14:textId="77777777" w:rsidR="001E1C49" w:rsidRDefault="001E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AE30D" w14:textId="77777777" w:rsidR="00060A9F" w:rsidRDefault="006D07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53BEB" w14:textId="77777777" w:rsidR="00060A9F" w:rsidRDefault="00060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718336"/>
      <w:docPartObj>
        <w:docPartGallery w:val="Page Numbers (Top of Page)"/>
        <w:docPartUnique/>
      </w:docPartObj>
    </w:sdtPr>
    <w:sdtEndPr/>
    <w:sdtContent>
      <w:p w14:paraId="35B9B817" w14:textId="77777777" w:rsidR="0098699A" w:rsidRDefault="0098699A">
        <w:pPr>
          <w:pStyle w:val="Header"/>
          <w:jc w:val="center"/>
        </w:pPr>
        <w:r>
          <w:fldChar w:fldCharType="begin"/>
        </w:r>
        <w:r>
          <w:instrText>PAGE   \* MERGEFORMAT</w:instrText>
        </w:r>
        <w:r>
          <w:fldChar w:fldCharType="separate"/>
        </w:r>
        <w:r w:rsidR="0060437E">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70978"/>
    <w:multiLevelType w:val="multilevel"/>
    <w:tmpl w:val="FE7459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E5021EB"/>
    <w:multiLevelType w:val="multilevel"/>
    <w:tmpl w:val="08C0FE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E040D31"/>
    <w:multiLevelType w:val="multilevel"/>
    <w:tmpl w:val="49141AD8"/>
    <w:lvl w:ilvl="0">
      <w:start w:val="1"/>
      <w:numFmt w:val="decimal"/>
      <w:suff w:val="space"/>
      <w:lvlText w:val="§ %1. "/>
      <w:lvlJc w:val="left"/>
      <w:pPr>
        <w:ind w:left="568" w:firstLine="0"/>
      </w:pPr>
      <w:rPr>
        <w:rFonts w:hint="default"/>
        <w:b/>
        <w:i w:val="0"/>
      </w:rPr>
    </w:lvl>
    <w:lvl w:ilvl="1">
      <w:start w:val="1"/>
      <w:numFmt w:val="decimal"/>
      <w:pStyle w:val="Bodym"/>
      <w:suff w:val="space"/>
      <w:lvlText w:val="(%2)"/>
      <w:lvlJc w:val="left"/>
      <w:pPr>
        <w:ind w:left="4962" w:firstLine="0"/>
      </w:pPr>
      <w:rPr>
        <w:rFonts w:hint="default"/>
        <w:color w:val="auto"/>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12027A1"/>
    <w:multiLevelType w:val="multilevel"/>
    <w:tmpl w:val="36B04610"/>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35274B8"/>
    <w:multiLevelType w:val="multilevel"/>
    <w:tmpl w:val="A152323A"/>
    <w:lvl w:ilvl="0">
      <w:start w:val="1"/>
      <w:numFmt w:val="decimal"/>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5B25850"/>
    <w:multiLevelType w:val="multilevel"/>
    <w:tmpl w:val="C97659BE"/>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upperLetter"/>
      <w:isLgl/>
      <w:lvlText w:val="%1.%2.%3.%4."/>
      <w:lvlJc w:val="left"/>
      <w:pPr>
        <w:ind w:left="1800" w:hanging="720"/>
      </w:pPr>
      <w:rPr>
        <w:rFonts w:hint="default"/>
      </w:rPr>
    </w:lvl>
    <w:lvl w:ilvl="4">
      <w:start w:val="1"/>
      <w:numFmt w:val="upperLetter"/>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60CB1429"/>
    <w:multiLevelType w:val="multilevel"/>
    <w:tmpl w:val="56E879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24548A5"/>
    <w:multiLevelType w:val="multilevel"/>
    <w:tmpl w:val="48F2CB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2E07D99"/>
    <w:multiLevelType w:val="multilevel"/>
    <w:tmpl w:val="218E9BF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5D84FF3"/>
    <w:multiLevelType w:val="multilevel"/>
    <w:tmpl w:val="FE745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D197DFA"/>
    <w:multiLevelType w:val="multilevel"/>
    <w:tmpl w:val="D7AEDE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upperLetter"/>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725374622">
    <w:abstractNumId w:val="10"/>
  </w:num>
  <w:num w:numId="2" w16cid:durableId="662005529">
    <w:abstractNumId w:val="11"/>
  </w:num>
  <w:num w:numId="3" w16cid:durableId="723405323">
    <w:abstractNumId w:val="1"/>
  </w:num>
  <w:num w:numId="4" w16cid:durableId="997030923">
    <w:abstractNumId w:val="4"/>
  </w:num>
  <w:num w:numId="5" w16cid:durableId="990254119">
    <w:abstractNumId w:val="3"/>
  </w:num>
  <w:num w:numId="6" w16cid:durableId="138152836">
    <w:abstractNumId w:val="3"/>
    <w:lvlOverride w:ilvl="0">
      <w:lvl w:ilvl="0">
        <w:start w:val="1"/>
        <w:numFmt w:val="decimal"/>
        <w:pStyle w:val="Lisatekst"/>
        <w:suff w:val="space"/>
        <w:lvlText w:val="%1."/>
        <w:lvlJc w:val="left"/>
        <w:pPr>
          <w:ind w:left="0" w:firstLine="0"/>
        </w:pPr>
        <w:rPr>
          <w:rFonts w:hint="default"/>
        </w:rPr>
      </w:lvl>
    </w:lvlOverride>
    <w:lvlOverride w:ilvl="1">
      <w:lvl w:ilvl="1">
        <w:start w:val="1"/>
        <w:numFmt w:val="decimal"/>
        <w:pStyle w:val="LisaBodyt"/>
        <w:suff w:val="space"/>
        <w:lvlText w:val="%1.%2"/>
        <w:lvlJc w:val="left"/>
        <w:pPr>
          <w:ind w:left="0" w:firstLine="0"/>
        </w:pPr>
        <w:rPr>
          <w:rFonts w:hint="default"/>
        </w:rPr>
      </w:lvl>
    </w:lvlOverride>
    <w:lvlOverride w:ilvl="2">
      <w:lvl w:ilvl="2">
        <w:start w:val="1"/>
        <w:numFmt w:val="decimal"/>
        <w:pStyle w:val="LisaBodyt2"/>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7" w16cid:durableId="1974603531">
    <w:abstractNumId w:val="8"/>
  </w:num>
  <w:num w:numId="8" w16cid:durableId="28647486">
    <w:abstractNumId w:val="2"/>
  </w:num>
  <w:num w:numId="9" w16cid:durableId="1433822604">
    <w:abstractNumId w:val="2"/>
  </w:num>
  <w:num w:numId="10" w16cid:durableId="529340505">
    <w:abstractNumId w:val="4"/>
  </w:num>
  <w:num w:numId="11" w16cid:durableId="1375082197">
    <w:abstractNumId w:val="4"/>
  </w:num>
  <w:num w:numId="12" w16cid:durableId="2120955373">
    <w:abstractNumId w:val="4"/>
  </w:num>
  <w:num w:numId="13" w16cid:durableId="1232810702">
    <w:abstractNumId w:val="5"/>
  </w:num>
  <w:num w:numId="14" w16cid:durableId="860819544">
    <w:abstractNumId w:val="12"/>
  </w:num>
  <w:num w:numId="15" w16cid:durableId="210846230">
    <w:abstractNumId w:val="7"/>
  </w:num>
  <w:num w:numId="16" w16cid:durableId="100074222">
    <w:abstractNumId w:val="0"/>
  </w:num>
  <w:num w:numId="17" w16cid:durableId="1982155877">
    <w:abstractNumId w:val="9"/>
  </w:num>
  <w:num w:numId="18" w16cid:durableId="1061101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49"/>
    <w:rsid w:val="00005AB4"/>
    <w:rsid w:val="00020028"/>
    <w:rsid w:val="0003207A"/>
    <w:rsid w:val="00060A9F"/>
    <w:rsid w:val="00065EA5"/>
    <w:rsid w:val="00095E3D"/>
    <w:rsid w:val="000C59C5"/>
    <w:rsid w:val="0015159C"/>
    <w:rsid w:val="00165530"/>
    <w:rsid w:val="00174FF5"/>
    <w:rsid w:val="00181FE5"/>
    <w:rsid w:val="00186FC2"/>
    <w:rsid w:val="00191C92"/>
    <w:rsid w:val="001A48DE"/>
    <w:rsid w:val="001C5008"/>
    <w:rsid w:val="001C72DD"/>
    <w:rsid w:val="001E1C49"/>
    <w:rsid w:val="0020707E"/>
    <w:rsid w:val="00216D52"/>
    <w:rsid w:val="002175CE"/>
    <w:rsid w:val="00223C38"/>
    <w:rsid w:val="00224DE4"/>
    <w:rsid w:val="00263DEF"/>
    <w:rsid w:val="0026472F"/>
    <w:rsid w:val="00266E9B"/>
    <w:rsid w:val="002710B9"/>
    <w:rsid w:val="00291C78"/>
    <w:rsid w:val="00292D3B"/>
    <w:rsid w:val="00296B12"/>
    <w:rsid w:val="002C2453"/>
    <w:rsid w:val="002D4DAE"/>
    <w:rsid w:val="002E42B7"/>
    <w:rsid w:val="002F4CFD"/>
    <w:rsid w:val="003111FD"/>
    <w:rsid w:val="00316C91"/>
    <w:rsid w:val="0032275A"/>
    <w:rsid w:val="003534D4"/>
    <w:rsid w:val="003755EF"/>
    <w:rsid w:val="003B5C56"/>
    <w:rsid w:val="003D5D13"/>
    <w:rsid w:val="003E3BF3"/>
    <w:rsid w:val="003E47C5"/>
    <w:rsid w:val="00432E7D"/>
    <w:rsid w:val="00446029"/>
    <w:rsid w:val="004849B4"/>
    <w:rsid w:val="00490791"/>
    <w:rsid w:val="004A0C01"/>
    <w:rsid w:val="004A7ED8"/>
    <w:rsid w:val="004B2413"/>
    <w:rsid w:val="004C4600"/>
    <w:rsid w:val="004D48CB"/>
    <w:rsid w:val="004D4C95"/>
    <w:rsid w:val="004D5FCA"/>
    <w:rsid w:val="004F6479"/>
    <w:rsid w:val="005078D2"/>
    <w:rsid w:val="005135F2"/>
    <w:rsid w:val="00516127"/>
    <w:rsid w:val="005162FC"/>
    <w:rsid w:val="005226E5"/>
    <w:rsid w:val="00581B1E"/>
    <w:rsid w:val="005916D1"/>
    <w:rsid w:val="00594466"/>
    <w:rsid w:val="005C7E55"/>
    <w:rsid w:val="00601459"/>
    <w:rsid w:val="0060437E"/>
    <w:rsid w:val="006121F4"/>
    <w:rsid w:val="00612761"/>
    <w:rsid w:val="00652A11"/>
    <w:rsid w:val="00675987"/>
    <w:rsid w:val="006829B3"/>
    <w:rsid w:val="006D07D8"/>
    <w:rsid w:val="006E39AC"/>
    <w:rsid w:val="007300DC"/>
    <w:rsid w:val="00732606"/>
    <w:rsid w:val="007402B4"/>
    <w:rsid w:val="00746C84"/>
    <w:rsid w:val="007812FC"/>
    <w:rsid w:val="00795AF6"/>
    <w:rsid w:val="007A4F68"/>
    <w:rsid w:val="007B183B"/>
    <w:rsid w:val="007C5E0F"/>
    <w:rsid w:val="00801796"/>
    <w:rsid w:val="00821FA5"/>
    <w:rsid w:val="00844750"/>
    <w:rsid w:val="00851352"/>
    <w:rsid w:val="00857A05"/>
    <w:rsid w:val="00890DF3"/>
    <w:rsid w:val="008B6D49"/>
    <w:rsid w:val="008C1A1D"/>
    <w:rsid w:val="008C3AB8"/>
    <w:rsid w:val="008C79F9"/>
    <w:rsid w:val="008D2DCA"/>
    <w:rsid w:val="008E5AED"/>
    <w:rsid w:val="008F28A4"/>
    <w:rsid w:val="00913C19"/>
    <w:rsid w:val="00930C7C"/>
    <w:rsid w:val="009505B7"/>
    <w:rsid w:val="0097641D"/>
    <w:rsid w:val="0098699A"/>
    <w:rsid w:val="009B5254"/>
    <w:rsid w:val="009D638A"/>
    <w:rsid w:val="009F2BCB"/>
    <w:rsid w:val="009F71F0"/>
    <w:rsid w:val="00A51164"/>
    <w:rsid w:val="00A6532D"/>
    <w:rsid w:val="00A66EC1"/>
    <w:rsid w:val="00A80EC2"/>
    <w:rsid w:val="00AB6DA5"/>
    <w:rsid w:val="00AB7B24"/>
    <w:rsid w:val="00AC4B3D"/>
    <w:rsid w:val="00AD1579"/>
    <w:rsid w:val="00B1592C"/>
    <w:rsid w:val="00B3445F"/>
    <w:rsid w:val="00B4405D"/>
    <w:rsid w:val="00B516F0"/>
    <w:rsid w:val="00B6152C"/>
    <w:rsid w:val="00B71485"/>
    <w:rsid w:val="00B8316C"/>
    <w:rsid w:val="00B85859"/>
    <w:rsid w:val="00BA5708"/>
    <w:rsid w:val="00BA5FA8"/>
    <w:rsid w:val="00BB34A0"/>
    <w:rsid w:val="00BB38D5"/>
    <w:rsid w:val="00BB7B8E"/>
    <w:rsid w:val="00BC18D1"/>
    <w:rsid w:val="00BF4707"/>
    <w:rsid w:val="00C06D7B"/>
    <w:rsid w:val="00C3154A"/>
    <w:rsid w:val="00C47413"/>
    <w:rsid w:val="00C51908"/>
    <w:rsid w:val="00C55AEF"/>
    <w:rsid w:val="00C64072"/>
    <w:rsid w:val="00C644D9"/>
    <w:rsid w:val="00C665D7"/>
    <w:rsid w:val="00C720C2"/>
    <w:rsid w:val="00C82D40"/>
    <w:rsid w:val="00CB492A"/>
    <w:rsid w:val="00CC001A"/>
    <w:rsid w:val="00CC2AFF"/>
    <w:rsid w:val="00CF4B4B"/>
    <w:rsid w:val="00CF503E"/>
    <w:rsid w:val="00D159F1"/>
    <w:rsid w:val="00D17E69"/>
    <w:rsid w:val="00D24662"/>
    <w:rsid w:val="00D365A4"/>
    <w:rsid w:val="00D3764E"/>
    <w:rsid w:val="00D42564"/>
    <w:rsid w:val="00D43664"/>
    <w:rsid w:val="00E359AA"/>
    <w:rsid w:val="00E44CAE"/>
    <w:rsid w:val="00E51D5F"/>
    <w:rsid w:val="00E7551A"/>
    <w:rsid w:val="00E94E83"/>
    <w:rsid w:val="00EA7DD5"/>
    <w:rsid w:val="00EB24EF"/>
    <w:rsid w:val="00EC54BB"/>
    <w:rsid w:val="00ED183F"/>
    <w:rsid w:val="00EE150D"/>
    <w:rsid w:val="00EE4D2D"/>
    <w:rsid w:val="00F0190A"/>
    <w:rsid w:val="00F03103"/>
    <w:rsid w:val="00F46FA9"/>
    <w:rsid w:val="00F50709"/>
    <w:rsid w:val="00F67FE3"/>
    <w:rsid w:val="00F73D33"/>
    <w:rsid w:val="00F74BFC"/>
    <w:rsid w:val="00F85460"/>
    <w:rsid w:val="00F86E97"/>
    <w:rsid w:val="00FA39DC"/>
    <w:rsid w:val="00FA3DD1"/>
    <w:rsid w:val="00FB47BA"/>
    <w:rsid w:val="00FC79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24EA5980"/>
  <w15:docId w15:val="{E9B6FA48-9503-46F4-9C17-8871AD02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9AA"/>
  </w:style>
  <w:style w:type="paragraph" w:styleId="Heading1">
    <w:name w:val="heading 1"/>
    <w:basedOn w:val="Normal"/>
    <w:next w:val="Normal"/>
    <w:qFormat/>
    <w:pPr>
      <w:keepNext/>
      <w:numPr>
        <w:numId w:val="2"/>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E359AA"/>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rsid w:val="003E3BF3"/>
    <w:pPr>
      <w:spacing w:before="120"/>
    </w:pPr>
  </w:style>
  <w:style w:type="paragraph" w:customStyle="1" w:styleId="Bodyt">
    <w:name w:val="Bodyt"/>
    <w:basedOn w:val="Normal"/>
    <w:rsid w:val="00E359AA"/>
    <w:pPr>
      <w:numPr>
        <w:ilvl w:val="1"/>
        <w:numId w:val="12"/>
      </w:numPr>
    </w:pPr>
    <w:rPr>
      <w:rFonts w:eastAsiaTheme="minorHAnsi"/>
      <w:szCs w:val="22"/>
    </w:rPr>
  </w:style>
  <w:style w:type="paragraph" w:customStyle="1" w:styleId="Pealkiri">
    <w:name w:val="Pealkiri"/>
    <w:basedOn w:val="BodyText"/>
    <w:next w:val="BodyText"/>
    <w:qFormat/>
    <w:rsid w:val="008C79F9"/>
    <w:pPr>
      <w:spacing w:before="960" w:after="600"/>
      <w:ind w:right="5103"/>
    </w:pPr>
  </w:style>
  <w:style w:type="paragraph" w:customStyle="1" w:styleId="Tallinn">
    <w:name w:val="Tallinn"/>
    <w:basedOn w:val="Normal"/>
    <w:next w:val="BodyText"/>
    <w:qFormat/>
    <w:rsid w:val="00E359AA"/>
    <w:pPr>
      <w:spacing w:before="80" w:after="120"/>
    </w:pPr>
  </w:style>
  <w:style w:type="paragraph" w:customStyle="1" w:styleId="Tekst">
    <w:name w:val="Tekst"/>
    <w:basedOn w:val="BodyText"/>
    <w:rsid w:val="00E7551A"/>
  </w:style>
  <w:style w:type="paragraph" w:customStyle="1" w:styleId="Allkirjastajanimi">
    <w:name w:val="Allkirjastaja nimi"/>
    <w:basedOn w:val="Normal"/>
    <w:next w:val="Normal"/>
    <w:qFormat/>
    <w:rsid w:val="00E359AA"/>
  </w:style>
  <w:style w:type="paragraph" w:customStyle="1" w:styleId="Lisatekst">
    <w:name w:val="Lisatekst"/>
    <w:basedOn w:val="BodyText"/>
    <w:rsid w:val="00065EA5"/>
    <w:pPr>
      <w:keepNext/>
      <w:keepLines/>
      <w:numPr>
        <w:numId w:val="5"/>
      </w:numPr>
      <w:tabs>
        <w:tab w:val="left" w:pos="6521"/>
      </w:tabs>
      <w:spacing w:before="120"/>
    </w:pPr>
  </w:style>
  <w:style w:type="paragraph" w:customStyle="1" w:styleId="Body">
    <w:name w:val="Body"/>
    <w:basedOn w:val="Normal"/>
    <w:rsid w:val="00E359AA"/>
    <w:pPr>
      <w:tabs>
        <w:tab w:val="left" w:pos="6521"/>
      </w:tabs>
      <w:jc w:val="both"/>
    </w:pPr>
  </w:style>
  <w:style w:type="paragraph" w:customStyle="1" w:styleId="Lisapealkiri">
    <w:name w:val="Lisapealkiri"/>
    <w:basedOn w:val="BodyText"/>
    <w:next w:val="BodyText"/>
    <w:qFormat/>
    <w:rsid w:val="006D07D8"/>
    <w:pPr>
      <w:tabs>
        <w:tab w:val="left" w:pos="6521"/>
      </w:tabs>
      <w:spacing w:before="280" w:after="280"/>
    </w:pPr>
    <w:rPr>
      <w:b/>
    </w:rPr>
  </w:style>
  <w:style w:type="paragraph" w:customStyle="1" w:styleId="LisaBodyt">
    <w:name w:val="LisaBodyt"/>
    <w:basedOn w:val="Bodyt"/>
    <w:qFormat/>
    <w:rsid w:val="00065EA5"/>
    <w:pPr>
      <w:numPr>
        <w:numId w:val="5"/>
      </w:numPr>
      <w:spacing w:before="80"/>
    </w:pPr>
  </w:style>
  <w:style w:type="paragraph" w:customStyle="1" w:styleId="LisaBodyt2">
    <w:name w:val="LisaBodyt2"/>
    <w:basedOn w:val="LisaBodyt"/>
    <w:qFormat/>
    <w:rsid w:val="00065EA5"/>
    <w:pPr>
      <w:numPr>
        <w:ilvl w:val="2"/>
      </w:numPr>
      <w:spacing w:before="0"/>
    </w:pPr>
  </w:style>
  <w:style w:type="paragraph" w:customStyle="1" w:styleId="BodyR">
    <w:name w:val="BodyR"/>
    <w:basedOn w:val="Body"/>
    <w:qFormat/>
    <w:rsid w:val="00890DF3"/>
    <w:pPr>
      <w:jc w:val="right"/>
    </w:pPr>
  </w:style>
  <w:style w:type="paragraph" w:customStyle="1" w:styleId="BodyTextLisa">
    <w:name w:val="Body Text Lisa"/>
    <w:basedOn w:val="BodyText"/>
    <w:qFormat/>
    <w:rsid w:val="00446029"/>
    <w:pPr>
      <w:spacing w:before="120"/>
    </w:pPr>
  </w:style>
  <w:style w:type="paragraph" w:customStyle="1" w:styleId="Allkirjastatuddigit">
    <w:name w:val="Allkirjastatud digit"/>
    <w:basedOn w:val="Normal"/>
    <w:qFormat/>
    <w:rsid w:val="00E359AA"/>
    <w:pPr>
      <w:spacing w:before="480" w:after="120"/>
    </w:pPr>
  </w:style>
  <w:style w:type="paragraph" w:customStyle="1" w:styleId="Bodyt1">
    <w:name w:val="Bodyt1"/>
    <w:basedOn w:val="Bodyt"/>
    <w:qFormat/>
    <w:rsid w:val="00E359AA"/>
    <w:pPr>
      <w:numPr>
        <w:ilvl w:val="2"/>
      </w:numPr>
    </w:pPr>
  </w:style>
  <w:style w:type="character" w:customStyle="1" w:styleId="BodyTextChar">
    <w:name w:val="Body Text Char"/>
    <w:basedOn w:val="DefaultParagraphFont"/>
    <w:link w:val="BodyText"/>
    <w:rsid w:val="00E359AA"/>
    <w:rPr>
      <w:rFonts w:ascii="Calibri" w:hAnsi="Calibri"/>
      <w:sz w:val="22"/>
      <w:lang w:eastAsia="en-US"/>
    </w:rPr>
  </w:style>
  <w:style w:type="paragraph" w:customStyle="1" w:styleId="Bodyl">
    <w:name w:val="Bodyl"/>
    <w:basedOn w:val="Normal"/>
    <w:rsid w:val="00E359AA"/>
    <w:pPr>
      <w:jc w:val="right"/>
    </w:pPr>
  </w:style>
  <w:style w:type="paragraph" w:customStyle="1" w:styleId="Bodylisam">
    <w:name w:val="Bodylisam"/>
    <w:basedOn w:val="Normal"/>
    <w:rsid w:val="00E359AA"/>
    <w:pPr>
      <w:spacing w:before="120"/>
    </w:pPr>
  </w:style>
  <w:style w:type="paragraph" w:customStyle="1" w:styleId="Bodym">
    <w:name w:val="Bodym"/>
    <w:basedOn w:val="Normal"/>
    <w:rsid w:val="00E359AA"/>
    <w:pPr>
      <w:numPr>
        <w:ilvl w:val="1"/>
        <w:numId w:val="9"/>
      </w:numPr>
      <w:spacing w:before="80"/>
    </w:pPr>
  </w:style>
  <w:style w:type="paragraph" w:customStyle="1" w:styleId="Bodym1">
    <w:name w:val="Bodym1"/>
    <w:basedOn w:val="Bodym"/>
    <w:rsid w:val="00E359AA"/>
    <w:pPr>
      <w:numPr>
        <w:ilvl w:val="2"/>
      </w:numPr>
      <w:spacing w:before="0"/>
    </w:pPr>
  </w:style>
  <w:style w:type="paragraph" w:customStyle="1" w:styleId="Pealk1">
    <w:name w:val="Pealk1"/>
    <w:basedOn w:val="BodyText"/>
    <w:next w:val="BodyText"/>
    <w:qFormat/>
    <w:rsid w:val="00E359AA"/>
    <w:pPr>
      <w:keepNext/>
      <w:tabs>
        <w:tab w:val="left" w:pos="6521"/>
      </w:tabs>
      <w:spacing w:before="400"/>
    </w:pPr>
    <w:rPr>
      <w:b/>
    </w:rPr>
  </w:style>
  <w:style w:type="character" w:customStyle="1" w:styleId="HeaderChar">
    <w:name w:val="Header Char"/>
    <w:basedOn w:val="DefaultParagraphFont"/>
    <w:link w:val="Header"/>
    <w:uiPriority w:val="99"/>
    <w:rsid w:val="0098699A"/>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Kaskkiri_kinnitatud_lisaga_del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Kaskkiri_kinnitatud_lisaga_delta</Template>
  <TotalTime>8</TotalTime>
  <Pages>3</Pages>
  <Words>997</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
  <dc:creator>Tõnu Pihelgas</dc:creator>
  <cp:keywords/>
  <dc:description/>
  <cp:lastModifiedBy>Kairi Schütz</cp:lastModifiedBy>
  <cp:revision>6</cp:revision>
  <cp:lastPrinted>2002-08-26T08:36:00Z</cp:lastPrinted>
  <dcterms:created xsi:type="dcterms:W3CDTF">2024-10-23T04:27:00Z</dcterms:created>
  <dcterms:modified xsi:type="dcterms:W3CDTF">2024-10-23T04:30:00Z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ies>
</file>