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A4D53" w14:textId="77777777" w:rsidR="00594466" w:rsidRPr="00571577" w:rsidRDefault="00E15F51" w:rsidP="00571577">
      <w:pPr>
        <w:pStyle w:val="BodyText"/>
        <w:jc w:val="right"/>
        <w:rPr>
          <w:rFonts w:asciiTheme="minorHAnsi" w:hAnsiTheme="minorHAnsi"/>
          <w:sz w:val="22"/>
          <w:szCs w:val="22"/>
          <w:lang w:val="en-US"/>
        </w:rPr>
        <w:sectPr w:rsidR="00594466" w:rsidRPr="00571577" w:rsidSect="002B62E9">
          <w:headerReference w:type="even" r:id="rId7"/>
          <w:headerReference w:type="default" r:id="rId8"/>
          <w:type w:val="continuous"/>
          <w:pgSz w:w="11906" w:h="16838" w:code="9"/>
          <w:pgMar w:top="426" w:right="851" w:bottom="680" w:left="1701" w:header="454" w:footer="510" w:gutter="0"/>
          <w:cols w:space="708"/>
          <w:titlePg/>
        </w:sectPr>
      </w:pPr>
      <w:r w:rsidRPr="00571577">
        <w:rPr>
          <w:rFonts w:asciiTheme="minorHAnsi" w:hAnsiTheme="minorHAnsi"/>
          <w:sz w:val="22"/>
          <w:szCs w:val="22"/>
          <w:lang w:val="en-US"/>
        </w:rPr>
        <w:t>FULL TEXT</w:t>
      </w:r>
    </w:p>
    <w:p w14:paraId="03857725" w14:textId="6291D105" w:rsidR="0050352A" w:rsidRDefault="00E15F51" w:rsidP="009833E7">
      <w:pPr>
        <w:pStyle w:val="BodyR"/>
        <w:jc w:val="left"/>
        <w:rPr>
          <w:rFonts w:asciiTheme="minorHAnsi" w:hAnsiTheme="minorHAnsi"/>
          <w:sz w:val="22"/>
          <w:szCs w:val="22"/>
          <w:lang w:val="en-US"/>
        </w:rPr>
      </w:pPr>
      <w:r w:rsidRPr="00571577">
        <w:rPr>
          <w:rFonts w:asciiTheme="minorHAnsi" w:hAnsiTheme="minorHAnsi"/>
          <w:sz w:val="22"/>
          <w:szCs w:val="22"/>
          <w:lang w:val="en-US"/>
        </w:rPr>
        <w:t>Approved by Rector’s directive No 186 of 22 December 2016</w:t>
      </w:r>
      <w:r w:rsidR="009833E7">
        <w:rPr>
          <w:rFonts w:asciiTheme="minorHAnsi" w:hAnsiTheme="minorHAnsi"/>
          <w:sz w:val="22"/>
          <w:szCs w:val="22"/>
          <w:lang w:val="en-US"/>
        </w:rPr>
        <w:t xml:space="preserve"> (entry into force 01 January 2017)</w:t>
      </w:r>
      <w:r w:rsidR="0050352A">
        <w:rPr>
          <w:rFonts w:asciiTheme="minorHAnsi" w:hAnsiTheme="minorHAnsi"/>
          <w:sz w:val="22"/>
          <w:szCs w:val="22"/>
          <w:lang w:val="en-US"/>
        </w:rPr>
        <w:br/>
      </w:r>
      <w:r w:rsidR="0050352A" w:rsidRPr="0050352A">
        <w:rPr>
          <w:rFonts w:asciiTheme="minorHAnsi" w:hAnsiTheme="minorHAnsi"/>
          <w:sz w:val="22"/>
          <w:szCs w:val="22"/>
          <w:lang w:val="en-US"/>
        </w:rPr>
        <w:t xml:space="preserve">Amended by Rector’s directive No </w:t>
      </w:r>
      <w:r w:rsidR="0050352A">
        <w:rPr>
          <w:rFonts w:asciiTheme="minorHAnsi" w:hAnsiTheme="minorHAnsi"/>
          <w:sz w:val="22"/>
          <w:szCs w:val="22"/>
          <w:lang w:val="en-US"/>
        </w:rPr>
        <w:t>116 of 28 November</w:t>
      </w:r>
      <w:r w:rsidR="0050352A" w:rsidRPr="0050352A">
        <w:rPr>
          <w:rFonts w:asciiTheme="minorHAnsi" w:hAnsiTheme="minorHAnsi"/>
          <w:sz w:val="22"/>
          <w:szCs w:val="22"/>
          <w:lang w:val="en-US"/>
        </w:rPr>
        <w:t xml:space="preserve"> 2017</w:t>
      </w:r>
    </w:p>
    <w:p w14:paraId="3E17D966" w14:textId="4C41EA0E" w:rsidR="009833E7" w:rsidRDefault="009833E7" w:rsidP="009833E7">
      <w:pPr>
        <w:pStyle w:val="BodyR"/>
        <w:jc w:val="left"/>
        <w:rPr>
          <w:rFonts w:asciiTheme="minorHAnsi" w:hAnsiTheme="minorHAnsi"/>
          <w:sz w:val="22"/>
          <w:szCs w:val="22"/>
          <w:lang w:val="en-US"/>
        </w:rPr>
      </w:pPr>
      <w:r>
        <w:rPr>
          <w:rFonts w:asciiTheme="minorHAnsi" w:hAnsiTheme="minorHAnsi"/>
          <w:sz w:val="22"/>
          <w:szCs w:val="22"/>
          <w:lang w:val="en-US"/>
        </w:rPr>
        <w:t>Amended by Rector’s directive No 30 of 21 June 2022</w:t>
      </w:r>
    </w:p>
    <w:p w14:paraId="32388203" w14:textId="1F7057D0" w:rsidR="0050352A" w:rsidRPr="00571577" w:rsidRDefault="0050352A" w:rsidP="00571577">
      <w:pPr>
        <w:pStyle w:val="BodyR"/>
        <w:spacing w:before="120"/>
        <w:jc w:val="left"/>
        <w:rPr>
          <w:rFonts w:asciiTheme="minorHAnsi" w:hAnsiTheme="minorHAnsi"/>
          <w:sz w:val="22"/>
          <w:szCs w:val="22"/>
          <w:lang w:val="en-US"/>
        </w:rPr>
      </w:pPr>
      <w:r w:rsidRPr="0050352A">
        <w:rPr>
          <w:rFonts w:asciiTheme="minorHAnsi" w:hAnsiTheme="minorHAnsi"/>
          <w:sz w:val="22"/>
          <w:szCs w:val="22"/>
          <w:lang w:val="en-US"/>
        </w:rPr>
        <w:t xml:space="preserve">Date of entry into force: </w:t>
      </w:r>
      <w:r w:rsidR="004A2AD7">
        <w:rPr>
          <w:rFonts w:asciiTheme="minorHAnsi" w:hAnsiTheme="minorHAnsi"/>
          <w:sz w:val="22"/>
          <w:szCs w:val="22"/>
          <w:lang w:val="en-US"/>
        </w:rPr>
        <w:t>21.06.2022</w:t>
      </w:r>
    </w:p>
    <w:p w14:paraId="3CE07014" w14:textId="77777777" w:rsidR="00E15F51" w:rsidRPr="00571577" w:rsidRDefault="00E15F51" w:rsidP="002B62E9">
      <w:pPr>
        <w:pStyle w:val="Tekst"/>
        <w:spacing w:before="240"/>
        <w:rPr>
          <w:rFonts w:asciiTheme="minorHAnsi" w:hAnsiTheme="minorHAnsi"/>
          <w:b/>
          <w:sz w:val="22"/>
          <w:szCs w:val="22"/>
          <w:lang w:val="en-US"/>
        </w:rPr>
      </w:pPr>
      <w:r w:rsidRPr="00571577">
        <w:rPr>
          <w:rFonts w:asciiTheme="minorHAnsi" w:hAnsiTheme="minorHAnsi"/>
          <w:b/>
          <w:sz w:val="22"/>
          <w:szCs w:val="22"/>
          <w:lang w:val="en-US"/>
        </w:rPr>
        <w:t xml:space="preserve">Granting area directors and heads of academic structural </w:t>
      </w:r>
      <w:proofErr w:type="gramStart"/>
      <w:r w:rsidRPr="00571577">
        <w:rPr>
          <w:rFonts w:asciiTheme="minorHAnsi" w:hAnsiTheme="minorHAnsi"/>
          <w:b/>
          <w:sz w:val="22"/>
          <w:szCs w:val="22"/>
          <w:lang w:val="en-US"/>
        </w:rPr>
        <w:t>units</w:t>
      </w:r>
      <w:proofErr w:type="gramEnd"/>
      <w:r w:rsidRPr="00571577">
        <w:rPr>
          <w:rFonts w:asciiTheme="minorHAnsi" w:hAnsiTheme="minorHAnsi"/>
          <w:b/>
          <w:sz w:val="22"/>
          <w:szCs w:val="22"/>
          <w:lang w:val="en-US"/>
        </w:rPr>
        <w:t xml:space="preserve"> authority for representing Tallinn University of Technology</w:t>
      </w:r>
    </w:p>
    <w:p w14:paraId="09387195" w14:textId="77777777" w:rsidR="00E7551A" w:rsidRPr="00571577" w:rsidRDefault="000E2CFD" w:rsidP="00571577">
      <w:pPr>
        <w:pStyle w:val="Tekst"/>
        <w:rPr>
          <w:rFonts w:asciiTheme="minorHAnsi" w:hAnsiTheme="minorHAnsi"/>
          <w:sz w:val="22"/>
          <w:szCs w:val="22"/>
          <w:lang w:val="en-US"/>
        </w:rPr>
      </w:pPr>
      <w:r w:rsidRPr="00571577">
        <w:rPr>
          <w:rFonts w:asciiTheme="minorHAnsi" w:hAnsiTheme="minorHAnsi"/>
          <w:sz w:val="22"/>
          <w:szCs w:val="22"/>
          <w:lang w:val="en-US"/>
        </w:rPr>
        <w:t xml:space="preserve">Based on clause 6 (3) 6) of Tallinn University of Technology Act and </w:t>
      </w:r>
      <w:proofErr w:type="gramStart"/>
      <w:r w:rsidRPr="00571577">
        <w:rPr>
          <w:rFonts w:asciiTheme="minorHAnsi" w:hAnsiTheme="minorHAnsi"/>
          <w:sz w:val="22"/>
          <w:szCs w:val="22"/>
          <w:lang w:val="en-US"/>
        </w:rPr>
        <w:t>taking into account</w:t>
      </w:r>
      <w:proofErr w:type="gramEnd"/>
      <w:r w:rsidRPr="00571577">
        <w:rPr>
          <w:rFonts w:asciiTheme="minorHAnsi" w:hAnsiTheme="minorHAnsi"/>
          <w:sz w:val="22"/>
          <w:szCs w:val="22"/>
          <w:lang w:val="en-US"/>
        </w:rPr>
        <w:t xml:space="preserve"> that the Rector is the legal representative of Tallinn University of Technology (hereinafter the university) and makes transactions on behalf of the university within the limit of authority granted by the law</w:t>
      </w:r>
      <w:bookmarkStart w:id="0" w:name="_GoBack"/>
      <w:bookmarkEnd w:id="0"/>
      <w:r w:rsidRPr="00571577">
        <w:rPr>
          <w:rFonts w:asciiTheme="minorHAnsi" w:hAnsiTheme="minorHAnsi"/>
          <w:sz w:val="22"/>
          <w:szCs w:val="22"/>
          <w:lang w:val="en-US"/>
        </w:rPr>
        <w:t xml:space="preserve"> and statutes of the university:</w:t>
      </w:r>
    </w:p>
    <w:p w14:paraId="556A0B16" w14:textId="77777777" w:rsidR="000E2CFD" w:rsidRPr="00571577" w:rsidRDefault="000E2CFD" w:rsidP="00571577">
      <w:pPr>
        <w:pStyle w:val="Loetelu"/>
        <w:rPr>
          <w:rFonts w:asciiTheme="minorHAnsi" w:hAnsiTheme="minorHAnsi"/>
          <w:sz w:val="22"/>
          <w:szCs w:val="22"/>
          <w:lang w:val="en-US"/>
        </w:rPr>
      </w:pPr>
      <w:r w:rsidRPr="00571577">
        <w:rPr>
          <w:rFonts w:asciiTheme="minorHAnsi" w:hAnsiTheme="minorHAnsi"/>
          <w:sz w:val="22"/>
          <w:szCs w:val="22"/>
          <w:lang w:val="en-US"/>
        </w:rPr>
        <w:t xml:space="preserve">I grant the area directors and the heads of academic structural </w:t>
      </w:r>
      <w:proofErr w:type="gramStart"/>
      <w:r w:rsidRPr="00571577">
        <w:rPr>
          <w:rFonts w:asciiTheme="minorHAnsi" w:hAnsiTheme="minorHAnsi"/>
          <w:sz w:val="22"/>
          <w:szCs w:val="22"/>
          <w:lang w:val="en-US"/>
        </w:rPr>
        <w:t>units</w:t>
      </w:r>
      <w:proofErr w:type="gramEnd"/>
      <w:r w:rsidRPr="00571577">
        <w:rPr>
          <w:rFonts w:asciiTheme="minorHAnsi" w:hAnsiTheme="minorHAnsi"/>
          <w:sz w:val="22"/>
          <w:szCs w:val="22"/>
          <w:lang w:val="en-US"/>
        </w:rPr>
        <w:t xml:space="preserve"> authority for representing the university ex officio. The authority commences on assuming office and terminates upon leaving office.</w:t>
      </w:r>
    </w:p>
    <w:p w14:paraId="60384067" w14:textId="77777777" w:rsidR="004B2413" w:rsidRPr="00571577" w:rsidRDefault="000E2CFD" w:rsidP="00571577">
      <w:pPr>
        <w:pStyle w:val="Loetelu"/>
        <w:rPr>
          <w:rFonts w:asciiTheme="minorHAnsi" w:hAnsiTheme="minorHAnsi"/>
          <w:sz w:val="22"/>
          <w:szCs w:val="22"/>
          <w:lang w:val="en-US"/>
        </w:rPr>
      </w:pPr>
      <w:r w:rsidRPr="00571577">
        <w:rPr>
          <w:rFonts w:asciiTheme="minorHAnsi" w:hAnsiTheme="minorHAnsi"/>
          <w:sz w:val="22"/>
          <w:szCs w:val="22"/>
          <w:lang w:val="en-US" w:bidi="en-GB"/>
        </w:rPr>
        <w:t xml:space="preserve">I </w:t>
      </w:r>
      <w:proofErr w:type="spellStart"/>
      <w:r w:rsidRPr="00571577">
        <w:rPr>
          <w:rFonts w:asciiTheme="minorHAnsi" w:hAnsiTheme="minorHAnsi"/>
          <w:sz w:val="22"/>
          <w:szCs w:val="22"/>
          <w:lang w:val="en-US" w:bidi="en-GB"/>
        </w:rPr>
        <w:t>authorise</w:t>
      </w:r>
      <w:proofErr w:type="spellEnd"/>
      <w:r w:rsidRPr="00571577">
        <w:rPr>
          <w:rFonts w:asciiTheme="minorHAnsi" w:hAnsiTheme="minorHAnsi"/>
          <w:sz w:val="22"/>
          <w:szCs w:val="22"/>
          <w:lang w:val="en-US" w:bidi="en-GB"/>
        </w:rPr>
        <w:t xml:space="preserve"> the following </w:t>
      </w:r>
      <w:r w:rsidRPr="00571577">
        <w:rPr>
          <w:rFonts w:asciiTheme="minorHAnsi" w:hAnsiTheme="minorHAnsi"/>
          <w:i/>
          <w:sz w:val="22"/>
          <w:szCs w:val="22"/>
          <w:lang w:val="en-US" w:bidi="en-GB"/>
        </w:rPr>
        <w:t>ex officio</w:t>
      </w:r>
      <w:r w:rsidRPr="00571577">
        <w:rPr>
          <w:rFonts w:asciiTheme="minorHAnsi" w:hAnsiTheme="minorHAnsi"/>
          <w:sz w:val="22"/>
          <w:szCs w:val="22"/>
          <w:lang w:val="en-US" w:bidi="en-GB"/>
        </w:rPr>
        <w:t>:</w:t>
      </w:r>
    </w:p>
    <w:p w14:paraId="690BA175" w14:textId="77777777" w:rsidR="000E2CFD" w:rsidRPr="00571577" w:rsidRDefault="000E2CFD" w:rsidP="00571577">
      <w:pPr>
        <w:pStyle w:val="Bodyt"/>
        <w:rPr>
          <w:rFonts w:asciiTheme="minorHAnsi" w:hAnsiTheme="minorHAnsi"/>
          <w:sz w:val="22"/>
          <w:szCs w:val="22"/>
          <w:lang w:val="en-US"/>
        </w:rPr>
      </w:pPr>
      <w:r w:rsidRPr="00571577">
        <w:rPr>
          <w:rFonts w:asciiTheme="minorHAnsi" w:hAnsiTheme="minorHAnsi"/>
          <w:b/>
          <w:sz w:val="22"/>
          <w:szCs w:val="22"/>
          <w:lang w:val="en-US"/>
        </w:rPr>
        <w:t>area directors</w:t>
      </w:r>
      <w:r w:rsidRPr="00571577">
        <w:rPr>
          <w:rFonts w:asciiTheme="minorHAnsi" w:hAnsiTheme="minorHAnsi"/>
          <w:sz w:val="22"/>
          <w:szCs w:val="22"/>
          <w:lang w:val="en-US"/>
        </w:rPr>
        <w:t xml:space="preserve"> to conclude all the transactions arising from the field of activity of the area director appointed by the Rector and from the functions of his or her subordinate structural units;</w:t>
      </w:r>
    </w:p>
    <w:p w14:paraId="7E3DF0DF" w14:textId="77777777" w:rsidR="000E2CFD" w:rsidRPr="00571577" w:rsidRDefault="000E2CFD" w:rsidP="00571577">
      <w:pPr>
        <w:pStyle w:val="Bodyt"/>
        <w:rPr>
          <w:rFonts w:asciiTheme="minorHAnsi" w:hAnsiTheme="minorHAnsi"/>
          <w:sz w:val="22"/>
          <w:szCs w:val="22"/>
          <w:lang w:val="en-US"/>
        </w:rPr>
      </w:pPr>
      <w:r w:rsidRPr="00571577">
        <w:rPr>
          <w:rFonts w:asciiTheme="minorHAnsi" w:hAnsiTheme="minorHAnsi"/>
          <w:b/>
          <w:sz w:val="22"/>
          <w:szCs w:val="22"/>
          <w:lang w:val="en-US"/>
        </w:rPr>
        <w:t>deans</w:t>
      </w:r>
      <w:r w:rsidRPr="00571577">
        <w:rPr>
          <w:rFonts w:asciiTheme="minorHAnsi" w:hAnsiTheme="minorHAnsi"/>
          <w:sz w:val="22"/>
          <w:szCs w:val="22"/>
          <w:lang w:val="en-US"/>
        </w:rPr>
        <w:t xml:space="preserve"> to conclude transactions that are carried out at the school and fall within the competence of the school and the dean and the price</w:t>
      </w:r>
      <w:r w:rsidR="0050352A">
        <w:rPr>
          <w:rFonts w:asciiTheme="minorHAnsi" w:hAnsiTheme="minorHAnsi"/>
          <w:sz w:val="22"/>
          <w:szCs w:val="22"/>
          <w:lang w:val="en-US"/>
        </w:rPr>
        <w:t xml:space="preserve"> of which does not exceed EUR 60</w:t>
      </w:r>
      <w:r w:rsidRPr="00571577">
        <w:rPr>
          <w:rFonts w:asciiTheme="minorHAnsi" w:hAnsiTheme="minorHAnsi"/>
          <w:sz w:val="22"/>
          <w:szCs w:val="22"/>
          <w:lang w:val="en-US"/>
        </w:rPr>
        <w:t>,000 (</w:t>
      </w:r>
      <w:r w:rsidR="0050352A" w:rsidRPr="0050352A">
        <w:rPr>
          <w:rFonts w:asciiTheme="minorHAnsi" w:hAnsiTheme="minorHAnsi" w:cstheme="minorHAnsi"/>
          <w:sz w:val="22"/>
          <w:szCs w:val="22"/>
        </w:rPr>
        <w:t>sixty</w:t>
      </w:r>
      <w:r w:rsidRPr="00571577">
        <w:rPr>
          <w:rFonts w:asciiTheme="minorHAnsi" w:hAnsiTheme="minorHAnsi"/>
          <w:sz w:val="22"/>
          <w:szCs w:val="22"/>
          <w:lang w:val="en-US"/>
        </w:rPr>
        <w:t xml:space="preserve"> thousand), VAT not included, incl. to enter into contracts on compensating the study costs with students and with external students applying for graduation as well as contracts conc</w:t>
      </w:r>
      <w:r w:rsidR="002B62E9">
        <w:rPr>
          <w:rFonts w:asciiTheme="minorHAnsi" w:hAnsiTheme="minorHAnsi"/>
          <w:sz w:val="22"/>
          <w:szCs w:val="22"/>
          <w:lang w:val="en-US"/>
        </w:rPr>
        <w:t xml:space="preserve">erning grants and internship; </w:t>
      </w:r>
      <w:r w:rsidR="002B62E9" w:rsidRPr="002B62E9">
        <w:rPr>
          <w:rFonts w:asciiTheme="minorHAnsi" w:hAnsiTheme="minorHAnsi" w:cstheme="minorHAnsi"/>
          <w:noProof/>
          <w:sz w:val="22"/>
          <w:szCs w:val="22"/>
        </w:rPr>
        <w:t xml:space="preserve">[amended on </w:t>
      </w:r>
      <w:r w:rsidR="002B62E9">
        <w:rPr>
          <w:rFonts w:asciiTheme="minorHAnsi" w:hAnsiTheme="minorHAnsi" w:cstheme="minorHAnsi"/>
          <w:noProof/>
          <w:sz w:val="22"/>
          <w:szCs w:val="22"/>
        </w:rPr>
        <w:t>28 November 2017</w:t>
      </w:r>
      <w:r w:rsidR="002B62E9" w:rsidRPr="002B62E9">
        <w:rPr>
          <w:rFonts w:asciiTheme="minorHAnsi" w:hAnsiTheme="minorHAnsi" w:cstheme="minorHAnsi"/>
          <w:noProof/>
          <w:sz w:val="22"/>
          <w:szCs w:val="22"/>
        </w:rPr>
        <w:t>]</w:t>
      </w:r>
    </w:p>
    <w:p w14:paraId="294EA661" w14:textId="77777777" w:rsidR="000E2CFD" w:rsidRPr="00571577" w:rsidRDefault="00484517" w:rsidP="00571577">
      <w:pPr>
        <w:pStyle w:val="Bodyt"/>
        <w:rPr>
          <w:rFonts w:asciiTheme="minorHAnsi" w:hAnsiTheme="minorHAnsi"/>
          <w:sz w:val="22"/>
          <w:szCs w:val="22"/>
          <w:lang w:val="en-US"/>
        </w:rPr>
      </w:pPr>
      <w:r w:rsidRPr="00571577">
        <w:rPr>
          <w:rFonts w:asciiTheme="minorHAnsi" w:hAnsiTheme="minorHAnsi"/>
          <w:b/>
          <w:sz w:val="22"/>
          <w:szCs w:val="22"/>
          <w:lang w:val="en-US" w:bidi="en-GB"/>
        </w:rPr>
        <w:t>heads of the departments</w:t>
      </w:r>
      <w:r w:rsidRPr="00571577">
        <w:rPr>
          <w:rFonts w:asciiTheme="minorHAnsi" w:hAnsiTheme="minorHAnsi"/>
          <w:sz w:val="22"/>
          <w:szCs w:val="22"/>
          <w:lang w:val="en-US" w:bidi="en-GB"/>
        </w:rPr>
        <w:t xml:space="preserve"> to conclude transactions that are carried out at the school and fall within the competence of the department and the head of the department and the price of which does not exceed EUR </w:t>
      </w:r>
      <w:r w:rsidR="0050352A">
        <w:rPr>
          <w:rFonts w:asciiTheme="minorHAnsi" w:hAnsiTheme="minorHAnsi"/>
          <w:sz w:val="22"/>
          <w:szCs w:val="22"/>
          <w:lang w:val="en-US" w:bidi="en-GB"/>
        </w:rPr>
        <w:t>60</w:t>
      </w:r>
      <w:r w:rsidRPr="00571577">
        <w:rPr>
          <w:rFonts w:asciiTheme="minorHAnsi" w:hAnsiTheme="minorHAnsi"/>
          <w:sz w:val="22"/>
          <w:szCs w:val="22"/>
          <w:lang w:val="en-US" w:bidi="en-GB"/>
        </w:rPr>
        <w:t>,000 (</w:t>
      </w:r>
      <w:r w:rsidR="0050352A" w:rsidRPr="00D40EBE">
        <w:rPr>
          <w:rFonts w:asciiTheme="minorHAnsi" w:hAnsiTheme="minorHAnsi" w:cstheme="minorHAnsi"/>
          <w:sz w:val="22"/>
          <w:szCs w:val="22"/>
        </w:rPr>
        <w:t>sixty</w:t>
      </w:r>
      <w:r w:rsidR="0050352A" w:rsidRPr="0050352A">
        <w:rPr>
          <w:rFonts w:asciiTheme="minorHAnsi" w:hAnsiTheme="minorHAnsi" w:cstheme="minorHAnsi"/>
          <w:sz w:val="22"/>
          <w:szCs w:val="22"/>
        </w:rPr>
        <w:t xml:space="preserve"> thousand</w:t>
      </w:r>
      <w:r w:rsidRPr="00571577">
        <w:rPr>
          <w:rFonts w:asciiTheme="minorHAnsi" w:hAnsiTheme="minorHAnsi"/>
          <w:sz w:val="22"/>
          <w:szCs w:val="22"/>
          <w:lang w:val="en-US" w:bidi="en-GB"/>
        </w:rPr>
        <w:t>), VAT not included.</w:t>
      </w:r>
      <w:r w:rsidR="002B62E9" w:rsidRPr="002B62E9">
        <w:rPr>
          <w:noProof/>
        </w:rPr>
        <w:t xml:space="preserve"> </w:t>
      </w:r>
      <w:r w:rsidR="002B62E9" w:rsidRPr="002B62E9">
        <w:rPr>
          <w:rFonts w:asciiTheme="minorHAnsi" w:hAnsiTheme="minorHAnsi" w:cstheme="minorHAnsi"/>
          <w:noProof/>
          <w:sz w:val="22"/>
          <w:szCs w:val="22"/>
        </w:rPr>
        <w:t xml:space="preserve">[amended on </w:t>
      </w:r>
      <w:r w:rsidR="002B62E9">
        <w:rPr>
          <w:rFonts w:asciiTheme="minorHAnsi" w:hAnsiTheme="minorHAnsi" w:cstheme="minorHAnsi"/>
          <w:noProof/>
          <w:sz w:val="22"/>
          <w:szCs w:val="22"/>
        </w:rPr>
        <w:t>28 November 2017</w:t>
      </w:r>
      <w:r w:rsidR="002B62E9" w:rsidRPr="002B62E9">
        <w:rPr>
          <w:rFonts w:asciiTheme="minorHAnsi" w:hAnsiTheme="minorHAnsi" w:cstheme="minorHAnsi"/>
          <w:noProof/>
          <w:sz w:val="22"/>
          <w:szCs w:val="22"/>
        </w:rPr>
        <w:t>]</w:t>
      </w:r>
    </w:p>
    <w:p w14:paraId="4951AB62" w14:textId="77777777" w:rsidR="000E2CFD" w:rsidRPr="00571577" w:rsidRDefault="000E2CFD" w:rsidP="00571577">
      <w:pPr>
        <w:pStyle w:val="Loetelu"/>
        <w:rPr>
          <w:rFonts w:asciiTheme="minorHAnsi" w:hAnsiTheme="minorHAnsi"/>
          <w:sz w:val="22"/>
          <w:szCs w:val="22"/>
          <w:lang w:val="en-US"/>
        </w:rPr>
      </w:pPr>
      <w:r w:rsidRPr="00571577">
        <w:rPr>
          <w:rFonts w:asciiTheme="minorHAnsi" w:hAnsiTheme="minorHAnsi"/>
          <w:sz w:val="22"/>
          <w:szCs w:val="22"/>
          <w:lang w:val="en-US"/>
        </w:rPr>
        <w:t>The authority:</w:t>
      </w:r>
    </w:p>
    <w:p w14:paraId="5D28A7C4" w14:textId="60BCC5EA" w:rsidR="000E2CFD" w:rsidRPr="00571577" w:rsidRDefault="009833E7" w:rsidP="00571577">
      <w:pPr>
        <w:pStyle w:val="Bodyt"/>
        <w:rPr>
          <w:rFonts w:asciiTheme="minorHAnsi" w:hAnsiTheme="minorHAnsi"/>
          <w:sz w:val="22"/>
          <w:szCs w:val="22"/>
          <w:lang w:val="en-US"/>
        </w:rPr>
      </w:pPr>
      <w:r w:rsidRPr="009833E7">
        <w:rPr>
          <w:rFonts w:asciiTheme="minorHAnsi" w:hAnsiTheme="minorHAnsi"/>
          <w:sz w:val="22"/>
          <w:szCs w:val="22"/>
          <w:lang w:val="en-US"/>
        </w:rPr>
        <w:t>has been granted to area directors with the right to delegate and to heads of academic structural units without the right to delegate, excluding granting authority required for carrying out operations for the performance of a contract. A dean has the right to delegate the authority to a vice-dean for academic affairs in order to issue dean’s office orders; [entry into force 21.06.2022]</w:t>
      </w:r>
    </w:p>
    <w:p w14:paraId="7BB8E9E2" w14:textId="77777777" w:rsidR="000E2CFD" w:rsidRPr="00571577" w:rsidRDefault="000E2CFD" w:rsidP="00571577">
      <w:pPr>
        <w:pStyle w:val="Bodyt"/>
        <w:rPr>
          <w:rFonts w:asciiTheme="minorHAnsi" w:hAnsiTheme="minorHAnsi"/>
          <w:sz w:val="22"/>
          <w:szCs w:val="22"/>
          <w:lang w:val="en-US"/>
        </w:rPr>
      </w:pPr>
      <w:r w:rsidRPr="00571577">
        <w:rPr>
          <w:rFonts w:asciiTheme="minorHAnsi" w:hAnsiTheme="minorHAnsi"/>
          <w:sz w:val="22"/>
          <w:szCs w:val="22"/>
          <w:lang w:val="en-US"/>
        </w:rPr>
        <w:t>does not grant the representative a right to conclude employment contracts, contacts for services, authority agreements or any other contracts with the employees of the university;</w:t>
      </w:r>
    </w:p>
    <w:p w14:paraId="7FF18194" w14:textId="77777777" w:rsidR="000E2CFD" w:rsidRPr="00571577" w:rsidRDefault="000E2CFD" w:rsidP="00571577">
      <w:pPr>
        <w:pStyle w:val="Bodyt"/>
        <w:rPr>
          <w:rFonts w:asciiTheme="minorHAnsi" w:hAnsiTheme="minorHAnsi"/>
          <w:sz w:val="22"/>
          <w:szCs w:val="22"/>
          <w:lang w:val="en-US"/>
        </w:rPr>
      </w:pPr>
      <w:r w:rsidRPr="00571577">
        <w:rPr>
          <w:rFonts w:asciiTheme="minorHAnsi" w:hAnsiTheme="minorHAnsi"/>
          <w:sz w:val="22"/>
          <w:szCs w:val="22"/>
          <w:lang w:val="en-US"/>
        </w:rPr>
        <w:t>shall be valid until expiry of the term of office of the representative as an employee unless the Rector revokes the authority earlier.</w:t>
      </w:r>
    </w:p>
    <w:p w14:paraId="6F04FBFB" w14:textId="77777777" w:rsidR="000E2CFD" w:rsidRPr="00571577" w:rsidRDefault="000E2CFD" w:rsidP="00571577">
      <w:pPr>
        <w:pStyle w:val="Loetelu"/>
        <w:rPr>
          <w:rFonts w:asciiTheme="minorHAnsi" w:hAnsiTheme="minorHAnsi"/>
          <w:sz w:val="22"/>
          <w:szCs w:val="22"/>
          <w:lang w:val="en-US"/>
        </w:rPr>
      </w:pPr>
      <w:r w:rsidRPr="00571577">
        <w:rPr>
          <w:rFonts w:asciiTheme="minorHAnsi" w:hAnsiTheme="minorHAnsi"/>
          <w:sz w:val="22"/>
          <w:szCs w:val="22"/>
          <w:lang w:val="en-US"/>
        </w:rPr>
        <w:t>The representative:</w:t>
      </w:r>
    </w:p>
    <w:p w14:paraId="2D43B7B5" w14:textId="77777777" w:rsidR="000E2CFD" w:rsidRPr="00571577" w:rsidRDefault="000E2CFD" w:rsidP="00571577">
      <w:pPr>
        <w:pStyle w:val="Bodyt"/>
        <w:rPr>
          <w:rFonts w:asciiTheme="minorHAnsi" w:hAnsiTheme="minorHAnsi"/>
          <w:sz w:val="22"/>
          <w:szCs w:val="22"/>
          <w:lang w:val="en-US"/>
        </w:rPr>
      </w:pPr>
      <w:r w:rsidRPr="00571577">
        <w:rPr>
          <w:rFonts w:asciiTheme="minorHAnsi" w:hAnsiTheme="minorHAnsi"/>
          <w:sz w:val="22"/>
          <w:szCs w:val="22"/>
          <w:lang w:val="en-US"/>
        </w:rPr>
        <w:t>shall conclude transactions laid down in this directive only for achievement of the goals of the university and within the limits of the resources at his or her disposal and planned in the budget for that purpose;</w:t>
      </w:r>
    </w:p>
    <w:p w14:paraId="19EB6768" w14:textId="77777777" w:rsidR="000E2CFD" w:rsidRPr="00571577" w:rsidRDefault="000E2CFD" w:rsidP="00571577">
      <w:pPr>
        <w:pStyle w:val="Bodyt"/>
        <w:rPr>
          <w:rFonts w:asciiTheme="minorHAnsi" w:hAnsiTheme="minorHAnsi"/>
          <w:sz w:val="22"/>
          <w:szCs w:val="22"/>
          <w:lang w:val="en-US"/>
        </w:rPr>
      </w:pPr>
      <w:r w:rsidRPr="00571577">
        <w:rPr>
          <w:rFonts w:asciiTheme="minorHAnsi" w:hAnsiTheme="minorHAnsi"/>
          <w:sz w:val="22"/>
          <w:szCs w:val="22"/>
          <w:lang w:val="en-US"/>
        </w:rPr>
        <w:t>shall conclude transactions in compliance with the relevant legislation applicable in the state and at the university;</w:t>
      </w:r>
    </w:p>
    <w:p w14:paraId="76EAD3A6" w14:textId="77777777" w:rsidR="000E2CFD" w:rsidRPr="00571577" w:rsidRDefault="000E2CFD" w:rsidP="00571577">
      <w:pPr>
        <w:pStyle w:val="Bodyt"/>
        <w:rPr>
          <w:rFonts w:asciiTheme="minorHAnsi" w:hAnsiTheme="minorHAnsi"/>
          <w:sz w:val="22"/>
          <w:szCs w:val="22"/>
          <w:lang w:val="en-US"/>
        </w:rPr>
      </w:pPr>
      <w:r w:rsidRPr="00571577">
        <w:rPr>
          <w:rFonts w:asciiTheme="minorHAnsi" w:hAnsiTheme="minorHAnsi"/>
          <w:sz w:val="22"/>
          <w:szCs w:val="22"/>
          <w:lang w:val="en-US"/>
        </w:rPr>
        <w:t>shall, on the basis of and to the extent laid down in legislation, be liable for violation of his or her obligations and for damage caused to the university upon conclusion of transactions.</w:t>
      </w:r>
    </w:p>
    <w:p w14:paraId="29C68376" w14:textId="77777777" w:rsidR="000E2CFD" w:rsidRPr="00571577" w:rsidRDefault="000E2CFD" w:rsidP="00571577">
      <w:pPr>
        <w:pStyle w:val="Loetelu"/>
        <w:rPr>
          <w:rFonts w:asciiTheme="minorHAnsi" w:hAnsiTheme="minorHAnsi"/>
          <w:sz w:val="22"/>
          <w:szCs w:val="22"/>
          <w:lang w:val="en-US"/>
        </w:rPr>
      </w:pPr>
      <w:r w:rsidRPr="00571577">
        <w:rPr>
          <w:rFonts w:asciiTheme="minorHAnsi" w:hAnsiTheme="minorHAnsi"/>
          <w:sz w:val="22"/>
          <w:szCs w:val="22"/>
          <w:lang w:val="en-US"/>
        </w:rPr>
        <w:t>Conclusion of transactions means entry into contracts, assuming obligations, preparation and signing of documents and carrying out other operations and making declarations of intent involving legally binding effects. Entry into contracts means also conducting pre-contractual negotiations, submission of tenders and applications as well as amendment and termination of contracts.</w:t>
      </w:r>
    </w:p>
    <w:p w14:paraId="3FAE1EF5" w14:textId="77777777" w:rsidR="000E2CFD" w:rsidRPr="00571577" w:rsidRDefault="000E2CFD" w:rsidP="00571577">
      <w:pPr>
        <w:pStyle w:val="Loetelu"/>
        <w:rPr>
          <w:rFonts w:asciiTheme="minorHAnsi" w:hAnsiTheme="minorHAnsi"/>
          <w:sz w:val="22"/>
          <w:szCs w:val="22"/>
          <w:lang w:val="en-US"/>
        </w:rPr>
      </w:pPr>
      <w:r w:rsidRPr="00571577">
        <w:rPr>
          <w:rFonts w:asciiTheme="minorHAnsi" w:hAnsiTheme="minorHAnsi"/>
          <w:sz w:val="22"/>
          <w:szCs w:val="22"/>
          <w:lang w:val="en-US"/>
        </w:rPr>
        <w:t xml:space="preserve">The Rector may issue a supplementary letter of </w:t>
      </w:r>
      <w:proofErr w:type="spellStart"/>
      <w:r w:rsidRPr="00571577">
        <w:rPr>
          <w:rFonts w:asciiTheme="minorHAnsi" w:hAnsiTheme="minorHAnsi"/>
          <w:sz w:val="22"/>
          <w:szCs w:val="22"/>
          <w:lang w:val="en-US"/>
        </w:rPr>
        <w:t>authorisation</w:t>
      </w:r>
      <w:proofErr w:type="spellEnd"/>
      <w:r w:rsidRPr="00571577">
        <w:rPr>
          <w:rFonts w:asciiTheme="minorHAnsi" w:hAnsiTheme="minorHAnsi"/>
          <w:sz w:val="22"/>
          <w:szCs w:val="22"/>
          <w:lang w:val="en-US"/>
        </w:rPr>
        <w:t>, specify the content of authority in more detail or grant a different authority to a representative.</w:t>
      </w:r>
    </w:p>
    <w:p w14:paraId="15E675B9" w14:textId="29F3D545" w:rsidR="000E2CFD" w:rsidRPr="00571577" w:rsidRDefault="000E2CFD" w:rsidP="00571577">
      <w:pPr>
        <w:pStyle w:val="Loetelu"/>
        <w:rPr>
          <w:rFonts w:asciiTheme="minorHAnsi" w:hAnsiTheme="minorHAnsi"/>
          <w:sz w:val="22"/>
          <w:szCs w:val="22"/>
          <w:lang w:val="en-US"/>
        </w:rPr>
      </w:pPr>
      <w:r w:rsidRPr="00571577">
        <w:rPr>
          <w:rFonts w:asciiTheme="minorHAnsi" w:hAnsiTheme="minorHAnsi"/>
          <w:sz w:val="22"/>
          <w:szCs w:val="22"/>
          <w:lang w:val="en-US"/>
        </w:rPr>
        <w:t xml:space="preserve">By this directive I revoke and replace valid authority granted to area directors and heads of academic structural units, excluding special authority (i.e. authority not arising from office) and authority granted in a </w:t>
      </w:r>
      <w:proofErr w:type="spellStart"/>
      <w:r w:rsidRPr="00571577">
        <w:rPr>
          <w:rFonts w:asciiTheme="minorHAnsi" w:hAnsiTheme="minorHAnsi"/>
          <w:sz w:val="22"/>
          <w:szCs w:val="22"/>
          <w:lang w:val="en-US"/>
        </w:rPr>
        <w:t>notarised</w:t>
      </w:r>
      <w:proofErr w:type="spellEnd"/>
      <w:r w:rsidRPr="00571577">
        <w:rPr>
          <w:rFonts w:asciiTheme="minorHAnsi" w:hAnsiTheme="minorHAnsi"/>
          <w:sz w:val="22"/>
          <w:szCs w:val="22"/>
          <w:lang w:val="en-US"/>
        </w:rPr>
        <w:t xml:space="preserve"> form</w:t>
      </w:r>
      <w:r w:rsidR="00D21F27" w:rsidRPr="00571577">
        <w:rPr>
          <w:rFonts w:asciiTheme="minorHAnsi" w:hAnsiTheme="minorHAnsi"/>
          <w:sz w:val="22"/>
          <w:szCs w:val="22"/>
          <w:lang w:val="en-US"/>
        </w:rPr>
        <w:t>.</w:t>
      </w:r>
    </w:p>
    <w:p w14:paraId="453EF015" w14:textId="77777777" w:rsidR="000E2CFD" w:rsidRPr="00571577" w:rsidRDefault="000E2CFD" w:rsidP="00571577">
      <w:pPr>
        <w:pStyle w:val="Loetelu"/>
        <w:rPr>
          <w:rFonts w:asciiTheme="minorHAnsi" w:hAnsiTheme="minorHAnsi"/>
          <w:sz w:val="22"/>
          <w:szCs w:val="22"/>
          <w:lang w:val="en-US"/>
        </w:rPr>
      </w:pPr>
      <w:r w:rsidRPr="00571577">
        <w:rPr>
          <w:rFonts w:asciiTheme="minorHAnsi" w:hAnsiTheme="minorHAnsi"/>
          <w:sz w:val="22"/>
          <w:szCs w:val="22"/>
          <w:lang w:val="en-US"/>
        </w:rPr>
        <w:t xml:space="preserve">I repeal Rector's directive No 227 of 4 September 2015 "Granting heads of academic structural units </w:t>
      </w:r>
      <w:proofErr w:type="spellStart"/>
      <w:r w:rsidRPr="00571577">
        <w:rPr>
          <w:rFonts w:asciiTheme="minorHAnsi" w:hAnsiTheme="minorHAnsi"/>
          <w:sz w:val="22"/>
          <w:szCs w:val="22"/>
          <w:lang w:val="en-US"/>
        </w:rPr>
        <w:t>authorisation</w:t>
      </w:r>
      <w:proofErr w:type="spellEnd"/>
      <w:r w:rsidRPr="00571577">
        <w:rPr>
          <w:rFonts w:asciiTheme="minorHAnsi" w:hAnsiTheme="minorHAnsi"/>
          <w:sz w:val="22"/>
          <w:szCs w:val="22"/>
          <w:lang w:val="en-US"/>
        </w:rPr>
        <w:t xml:space="preserve"> for representing Tallinn University of Technology".</w:t>
      </w:r>
    </w:p>
    <w:p w14:paraId="1A8D201C" w14:textId="77777777" w:rsidR="000E2CFD" w:rsidRPr="002B62E9" w:rsidRDefault="000E2CFD" w:rsidP="00D76EA8">
      <w:pPr>
        <w:pStyle w:val="Loetelu"/>
        <w:rPr>
          <w:rFonts w:asciiTheme="minorHAnsi" w:hAnsiTheme="minorHAnsi"/>
          <w:sz w:val="22"/>
          <w:szCs w:val="22"/>
          <w:lang w:val="en-US"/>
        </w:rPr>
      </w:pPr>
      <w:r w:rsidRPr="002B62E9">
        <w:rPr>
          <w:rFonts w:asciiTheme="minorHAnsi" w:hAnsiTheme="minorHAnsi"/>
          <w:sz w:val="22"/>
          <w:szCs w:val="22"/>
          <w:lang w:val="en-US"/>
        </w:rPr>
        <w:lastRenderedPageBreak/>
        <w:t>This directive shall enter into force on 1 January 2017.</w:t>
      </w:r>
      <w:r w:rsidR="00571577" w:rsidRPr="002B62E9">
        <w:rPr>
          <w:rFonts w:asciiTheme="minorHAnsi" w:hAnsiTheme="minorHAnsi"/>
          <w:sz w:val="22"/>
          <w:szCs w:val="22"/>
          <w:lang w:val="en-US"/>
        </w:rPr>
        <w:br/>
      </w:r>
    </w:p>
    <w:sectPr w:rsidR="000E2CFD" w:rsidRPr="002B62E9" w:rsidSect="002B62E9">
      <w:type w:val="continuous"/>
      <w:pgSz w:w="11906" w:h="16838" w:code="9"/>
      <w:pgMar w:top="426" w:right="851" w:bottom="680" w:left="1701" w:header="454"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AF60" w14:textId="77777777" w:rsidR="000E2CFD" w:rsidRDefault="000E2CFD">
      <w:r>
        <w:separator/>
      </w:r>
    </w:p>
  </w:endnote>
  <w:endnote w:type="continuationSeparator" w:id="0">
    <w:p w14:paraId="37E4E106" w14:textId="77777777" w:rsidR="000E2CFD" w:rsidRDefault="000E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59AC7" w14:textId="77777777" w:rsidR="000E2CFD" w:rsidRDefault="000E2CFD">
      <w:r>
        <w:separator/>
      </w:r>
    </w:p>
  </w:footnote>
  <w:footnote w:type="continuationSeparator" w:id="0">
    <w:p w14:paraId="5EDF9E81" w14:textId="77777777" w:rsidR="000E2CFD" w:rsidRDefault="000E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A22" w14:textId="77777777"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598A4C" w14:textId="77777777"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3A66" w14:textId="77777777" w:rsidR="00E44CAE" w:rsidRDefault="00E44CAE" w:rsidP="00612761">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2E9">
      <w:rPr>
        <w:rStyle w:val="PageNumber"/>
        <w:noProof/>
      </w:rPr>
      <w:t>2</w:t>
    </w:r>
    <w:r>
      <w:rPr>
        <w:rStyle w:val="PageNumber"/>
      </w:rPr>
      <w:fldChar w:fldCharType="end"/>
    </w:r>
  </w:p>
  <w:p w14:paraId="4D603126" w14:textId="77777777" w:rsidR="00E44CAE" w:rsidRDefault="00E44C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433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FD"/>
    <w:rsid w:val="00005AB4"/>
    <w:rsid w:val="00043D2C"/>
    <w:rsid w:val="000E2CFD"/>
    <w:rsid w:val="0015159C"/>
    <w:rsid w:val="00166714"/>
    <w:rsid w:val="00191C92"/>
    <w:rsid w:val="001A48DE"/>
    <w:rsid w:val="001F5F3F"/>
    <w:rsid w:val="00216D52"/>
    <w:rsid w:val="00223C38"/>
    <w:rsid w:val="0026472F"/>
    <w:rsid w:val="00266E9B"/>
    <w:rsid w:val="00271951"/>
    <w:rsid w:val="002852FB"/>
    <w:rsid w:val="00296B12"/>
    <w:rsid w:val="002B62E9"/>
    <w:rsid w:val="002F4CFD"/>
    <w:rsid w:val="003111FD"/>
    <w:rsid w:val="003B1E0E"/>
    <w:rsid w:val="003B5D1F"/>
    <w:rsid w:val="003E47C5"/>
    <w:rsid w:val="003F6316"/>
    <w:rsid w:val="00484517"/>
    <w:rsid w:val="00490791"/>
    <w:rsid w:val="004A2AD7"/>
    <w:rsid w:val="004A6074"/>
    <w:rsid w:val="004A7ED8"/>
    <w:rsid w:val="004B2413"/>
    <w:rsid w:val="004C4600"/>
    <w:rsid w:val="0050352A"/>
    <w:rsid w:val="005548D8"/>
    <w:rsid w:val="00571577"/>
    <w:rsid w:val="00581B1E"/>
    <w:rsid w:val="005916D1"/>
    <w:rsid w:val="00594466"/>
    <w:rsid w:val="005A1C49"/>
    <w:rsid w:val="005C0C52"/>
    <w:rsid w:val="005C7E55"/>
    <w:rsid w:val="00612761"/>
    <w:rsid w:val="00630C30"/>
    <w:rsid w:val="00652A11"/>
    <w:rsid w:val="006604B2"/>
    <w:rsid w:val="00675987"/>
    <w:rsid w:val="006779E5"/>
    <w:rsid w:val="006D753A"/>
    <w:rsid w:val="007402B4"/>
    <w:rsid w:val="00780A0D"/>
    <w:rsid w:val="00795AF6"/>
    <w:rsid w:val="007A4F68"/>
    <w:rsid w:val="00821FA5"/>
    <w:rsid w:val="00844750"/>
    <w:rsid w:val="008B6D49"/>
    <w:rsid w:val="008D2DCA"/>
    <w:rsid w:val="008D3687"/>
    <w:rsid w:val="008F28A4"/>
    <w:rsid w:val="009833E7"/>
    <w:rsid w:val="009B5254"/>
    <w:rsid w:val="009D638A"/>
    <w:rsid w:val="009F71F0"/>
    <w:rsid w:val="00A51164"/>
    <w:rsid w:val="00A6532D"/>
    <w:rsid w:val="00A80116"/>
    <w:rsid w:val="00A80EC2"/>
    <w:rsid w:val="00AB7B24"/>
    <w:rsid w:val="00B5014A"/>
    <w:rsid w:val="00B5337C"/>
    <w:rsid w:val="00B71485"/>
    <w:rsid w:val="00BA5708"/>
    <w:rsid w:val="00BB7B8E"/>
    <w:rsid w:val="00BC5E2B"/>
    <w:rsid w:val="00C0214C"/>
    <w:rsid w:val="00C3154A"/>
    <w:rsid w:val="00C55AEF"/>
    <w:rsid w:val="00C720C2"/>
    <w:rsid w:val="00C82D40"/>
    <w:rsid w:val="00C92F8C"/>
    <w:rsid w:val="00CB170A"/>
    <w:rsid w:val="00CC001A"/>
    <w:rsid w:val="00CF503E"/>
    <w:rsid w:val="00D21F27"/>
    <w:rsid w:val="00D26F57"/>
    <w:rsid w:val="00D40EBE"/>
    <w:rsid w:val="00D43664"/>
    <w:rsid w:val="00D82B72"/>
    <w:rsid w:val="00DC4DA6"/>
    <w:rsid w:val="00E00818"/>
    <w:rsid w:val="00E15F51"/>
    <w:rsid w:val="00E33B87"/>
    <w:rsid w:val="00E44CAE"/>
    <w:rsid w:val="00E51D5F"/>
    <w:rsid w:val="00E7551A"/>
    <w:rsid w:val="00E8728E"/>
    <w:rsid w:val="00E94E83"/>
    <w:rsid w:val="00EA7DD5"/>
    <w:rsid w:val="00EB0250"/>
    <w:rsid w:val="00ED183F"/>
    <w:rsid w:val="00EE150D"/>
    <w:rsid w:val="00F06F8D"/>
    <w:rsid w:val="00F44F64"/>
    <w:rsid w:val="00F46FA9"/>
    <w:rsid w:val="00FC76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0"/>
    </o:shapedefaults>
    <o:shapelayout v:ext="edit">
      <o:idmap v:ext="edit" data="1"/>
    </o:shapelayout>
  </w:shapeDefaults>
  <w:decimalSymbol w:val=","/>
  <w:listSeparator w:val=";"/>
  <w14:docId w14:val="5C9AF551"/>
  <w15:docId w15:val="{2388CF7A-5F26-4987-A0A6-94025CFC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4F64"/>
    <w:rPr>
      <w:sz w:val="24"/>
      <w:lang w:val="en-GB"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BodyText"/>
    <w:pPr>
      <w:numPr>
        <w:numId w:val="4"/>
      </w:numPr>
      <w:spacing w:before="120"/>
      <w:jc w:val="left"/>
    </w:pPr>
  </w:style>
  <w:style w:type="paragraph" w:customStyle="1" w:styleId="Bodyt">
    <w:name w:val="Bodyt"/>
    <w:basedOn w:val="Normal"/>
    <w:pPr>
      <w:numPr>
        <w:ilvl w:val="1"/>
        <w:numId w:val="4"/>
      </w:numPr>
    </w:pPr>
  </w:style>
  <w:style w:type="paragraph" w:customStyle="1" w:styleId="Pealkiri">
    <w:name w:val="Pealkiri"/>
    <w:basedOn w:val="BodyText"/>
    <w:next w:val="BodyText"/>
    <w:qFormat/>
    <w:rsid w:val="00EB0250"/>
    <w:pPr>
      <w:spacing w:before="960" w:after="600"/>
      <w:ind w:right="5103"/>
      <w:jc w:val="left"/>
    </w:pPr>
  </w:style>
  <w:style w:type="paragraph" w:customStyle="1" w:styleId="Tallinn">
    <w:name w:val="Tallinn"/>
    <w:basedOn w:val="BodyText"/>
    <w:next w:val="BodyText"/>
    <w:qFormat/>
    <w:rsid w:val="005548D8"/>
    <w:pPr>
      <w:spacing w:before="80" w:after="120"/>
      <w:jc w:val="left"/>
    </w:pPr>
  </w:style>
  <w:style w:type="paragraph" w:customStyle="1" w:styleId="Tekst">
    <w:name w:val="Tekst"/>
    <w:basedOn w:val="BodyText"/>
    <w:rsid w:val="00E7551A"/>
    <w:pPr>
      <w:spacing w:after="120"/>
      <w:jc w:val="left"/>
    </w:pPr>
  </w:style>
  <w:style w:type="paragraph" w:customStyle="1" w:styleId="Allkirjastajanimi">
    <w:name w:val="Allkirjastaja nimi"/>
    <w:basedOn w:val="BodyText"/>
    <w:next w:val="BodyText"/>
    <w:qFormat/>
    <w:rsid w:val="00F44F64"/>
    <w:pPr>
      <w:jc w:val="left"/>
    </w:pPr>
  </w:style>
  <w:style w:type="paragraph" w:customStyle="1" w:styleId="Allkirjastatuddigit">
    <w:name w:val="Allkirjastatud digit"/>
    <w:basedOn w:val="BodyText"/>
    <w:qFormat/>
    <w:rsid w:val="00F44F64"/>
    <w:pPr>
      <w:spacing w:before="480" w:after="120"/>
      <w:jc w:val="left"/>
    </w:pPr>
  </w:style>
  <w:style w:type="paragraph" w:styleId="BalloonText">
    <w:name w:val="Balloon Text"/>
    <w:basedOn w:val="Normal"/>
    <w:link w:val="BalloonTextChar"/>
    <w:semiHidden/>
    <w:unhideWhenUsed/>
    <w:rsid w:val="00271951"/>
    <w:rPr>
      <w:rFonts w:ascii="Segoe UI" w:hAnsi="Segoe UI" w:cs="Segoe UI"/>
      <w:sz w:val="18"/>
      <w:szCs w:val="18"/>
    </w:rPr>
  </w:style>
  <w:style w:type="character" w:customStyle="1" w:styleId="BalloonTextChar">
    <w:name w:val="Balloon Text Char"/>
    <w:basedOn w:val="DefaultParagraphFont"/>
    <w:link w:val="BalloonText"/>
    <w:semiHidden/>
    <w:rsid w:val="00271951"/>
    <w:rPr>
      <w:rFonts w:ascii="Segoe UI" w:hAnsi="Segoe UI" w:cs="Segoe UI"/>
      <w:sz w:val="18"/>
      <w:szCs w:val="18"/>
      <w:lang w:eastAsia="en-US"/>
    </w:rPr>
  </w:style>
  <w:style w:type="paragraph" w:customStyle="1" w:styleId="BodyR">
    <w:name w:val="BodyR"/>
    <w:basedOn w:val="Normal"/>
    <w:qFormat/>
    <w:rsid w:val="00E15F51"/>
    <w:pPr>
      <w:tabs>
        <w:tab w:val="left" w:pos="6521"/>
      </w:tabs>
      <w:jc w:val="right"/>
    </w:pPr>
    <w:rPr>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661</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Anneli Kõrve</dc:creator>
  <cp:keywords/>
  <dc:description/>
  <cp:lastModifiedBy>Kairi Schütz</cp:lastModifiedBy>
  <cp:revision>8</cp:revision>
  <cp:lastPrinted>2017-01-26T09:33:00Z</cp:lastPrinted>
  <dcterms:created xsi:type="dcterms:W3CDTF">2017-05-17T09:37:00Z</dcterms:created>
  <dcterms:modified xsi:type="dcterms:W3CDTF">2022-07-04T12:57:00Z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