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0AD1" w14:textId="30915652" w:rsidR="002B25B9" w:rsidRDefault="002B25B9" w:rsidP="002B25B9">
      <w:pPr>
        <w:pStyle w:val="Tallinn"/>
        <w:tabs>
          <w:tab w:val="left" w:pos="6237"/>
        </w:tabs>
        <w:jc w:val="right"/>
      </w:pPr>
      <w:bookmarkStart w:id="0" w:name="_GoBack"/>
      <w:bookmarkEnd w:id="0"/>
      <w:r>
        <w:t>TERVIKTEKST</w:t>
      </w:r>
    </w:p>
    <w:p w14:paraId="1FECD6BF" w14:textId="223F128B" w:rsidR="00E0743A" w:rsidRPr="00E0743A" w:rsidRDefault="002B25B9" w:rsidP="00E0743A">
      <w:pPr>
        <w:pStyle w:val="Tallinn"/>
        <w:tabs>
          <w:tab w:val="left" w:pos="6237"/>
        </w:tabs>
      </w:pPr>
      <w:r>
        <w:t>Kinnitatud rektori 09.09.2021 käskkirjaga nr 35</w:t>
      </w:r>
      <w:r w:rsidR="00E0743A">
        <w:t xml:space="preserve"> (jõustunud </w:t>
      </w:r>
      <w:r w:rsidR="00E0743A">
        <w:t>06.09.2021</w:t>
      </w:r>
      <w:r w:rsidR="00E0743A">
        <w:t>)</w:t>
      </w:r>
      <w:r w:rsidR="00E0743A">
        <w:br/>
        <w:t>Muudetud rektori 03.02.2022 käskkirjaga nr 9 (jõustunud 01.02.2022)</w:t>
      </w:r>
    </w:p>
    <w:p w14:paraId="322B8837" w14:textId="4CC4B361" w:rsidR="004B123F" w:rsidRPr="004B123F" w:rsidRDefault="004B123F" w:rsidP="004B123F">
      <w:pPr>
        <w:pStyle w:val="BodyText"/>
      </w:pPr>
      <w:r w:rsidRPr="004B123F">
        <w:t xml:space="preserve">Redaktsiooni jõustumise kuupäev: </w:t>
      </w:r>
      <w:r w:rsidR="00E0743A">
        <w:t>01.02.2022</w:t>
      </w:r>
    </w:p>
    <w:p w14:paraId="3FA3B1A3" w14:textId="77777777" w:rsidR="0099318A" w:rsidRPr="0099318A" w:rsidRDefault="0099318A" w:rsidP="0099318A">
      <w:pPr>
        <w:pStyle w:val="BodyText"/>
      </w:pPr>
    </w:p>
    <w:p w14:paraId="0D381877" w14:textId="05E283B9" w:rsidR="00E7551A" w:rsidRDefault="007A3642" w:rsidP="0099318A">
      <w:pPr>
        <w:pStyle w:val="Pealkiri"/>
        <w:spacing w:before="0" w:after="0"/>
        <w:ind w:right="0"/>
        <w:rPr>
          <w:b/>
        </w:rPr>
      </w:pPr>
      <w:r w:rsidRPr="002B25B9">
        <w:rPr>
          <w:b/>
        </w:rPr>
        <w:t>Vastutusala juhtide nimetamine ning nende tegevusvaldkondade ja neile alluvate struktuuriüksuste määramine</w:t>
      </w:r>
    </w:p>
    <w:p w14:paraId="5DE40AF3" w14:textId="77777777" w:rsidR="0099318A" w:rsidRPr="0099318A" w:rsidRDefault="0099318A" w:rsidP="0099318A">
      <w:pPr>
        <w:pStyle w:val="BodyText"/>
      </w:pPr>
    </w:p>
    <w:p w14:paraId="3C0F4940" w14:textId="77777777" w:rsidR="00E7551A" w:rsidRPr="007D4EB8" w:rsidRDefault="007A3642" w:rsidP="00E7551A">
      <w:pPr>
        <w:pStyle w:val="Tekst"/>
      </w:pPr>
      <w:r w:rsidRPr="007A3642">
        <w:t>Tuginedes Tallinna Tehnikaülikooli põhikirja § 11 punktile 9:</w:t>
      </w:r>
    </w:p>
    <w:p w14:paraId="3179E2AF" w14:textId="77777777" w:rsidR="007A3642" w:rsidRPr="00F72810" w:rsidRDefault="007A3642" w:rsidP="007A3642">
      <w:pPr>
        <w:pStyle w:val="Loetelu"/>
      </w:pPr>
      <w:r w:rsidRPr="00F72810">
        <w:t xml:space="preserve">Nimetan Tallinna Tehnikaülikooli vastutusala juhid alljärgnevalt: </w:t>
      </w:r>
    </w:p>
    <w:p w14:paraId="2BFA2386" w14:textId="77777777" w:rsidR="007A3642" w:rsidRPr="00F72810" w:rsidRDefault="007A3642" w:rsidP="007A3642">
      <w:pPr>
        <w:pStyle w:val="Bodyt"/>
        <w:spacing w:before="20"/>
      </w:pPr>
      <w:r w:rsidRPr="00F72810">
        <w:t>teadusprorektor – professor Maarja Kruusmaa (</w:t>
      </w:r>
      <w:bookmarkStart w:id="1" w:name="_Hlk49430668"/>
      <w:r w:rsidRPr="00F72810">
        <w:t>alates 1. septembrist 2020</w:t>
      </w:r>
      <w:bookmarkEnd w:id="1"/>
      <w:r w:rsidRPr="00F72810">
        <w:t>);</w:t>
      </w:r>
    </w:p>
    <w:p w14:paraId="36319E40" w14:textId="77777777" w:rsidR="007A3642" w:rsidRPr="00F72810" w:rsidRDefault="007A3642" w:rsidP="007A3642">
      <w:pPr>
        <w:pStyle w:val="Bodyt"/>
        <w:spacing w:before="20"/>
      </w:pPr>
      <w:r w:rsidRPr="00F72810">
        <w:t>õppeprorektor – professor Hendrik Voll (alates 1. septembrist 2020);</w:t>
      </w:r>
    </w:p>
    <w:p w14:paraId="2890DD89" w14:textId="77777777" w:rsidR="007A3642" w:rsidRPr="00F72810" w:rsidRDefault="007A3642" w:rsidP="007A3642">
      <w:pPr>
        <w:pStyle w:val="Bodyt"/>
      </w:pPr>
      <w:r w:rsidRPr="00F72810">
        <w:t xml:space="preserve">ettevõtlusprorektor – Sven </w:t>
      </w:r>
      <w:proofErr w:type="spellStart"/>
      <w:r w:rsidRPr="00F72810">
        <w:t>Illing</w:t>
      </w:r>
      <w:proofErr w:type="spellEnd"/>
      <w:r w:rsidRPr="00F72810">
        <w:t xml:space="preserve"> (alates 1. septembrist 2020)</w:t>
      </w:r>
      <w:r>
        <w:t>;</w:t>
      </w:r>
    </w:p>
    <w:p w14:paraId="588F93E7" w14:textId="677F28F5" w:rsidR="007A3642" w:rsidRDefault="00715A73" w:rsidP="007A3642">
      <w:pPr>
        <w:pStyle w:val="Bodyt"/>
      </w:pPr>
      <w:r>
        <w:t>r</w:t>
      </w:r>
      <w:r w:rsidR="007A3642">
        <w:t xml:space="preserve">ohepöörde prorektor </w:t>
      </w:r>
      <w:r w:rsidR="0030318C">
        <w:t>– Helen Sooväli-</w:t>
      </w:r>
      <w:proofErr w:type="spellStart"/>
      <w:r w:rsidR="0030318C">
        <w:t>Sepping</w:t>
      </w:r>
      <w:proofErr w:type="spellEnd"/>
      <w:r w:rsidR="000341BD">
        <w:t xml:space="preserve"> </w:t>
      </w:r>
      <w:r w:rsidR="007A3642" w:rsidRPr="00F72810">
        <w:t xml:space="preserve">(alates </w:t>
      </w:r>
      <w:r w:rsidR="00E70DD6">
        <w:t>6</w:t>
      </w:r>
      <w:r w:rsidR="007A3642" w:rsidRPr="00F72810">
        <w:t>. septembrist 202</w:t>
      </w:r>
      <w:r w:rsidR="007A3642">
        <w:t>1</w:t>
      </w:r>
      <w:r w:rsidR="007A3642" w:rsidRPr="00F72810">
        <w:t>)</w:t>
      </w:r>
      <w:r w:rsidR="007A3642">
        <w:t>;</w:t>
      </w:r>
    </w:p>
    <w:p w14:paraId="1729FB88" w14:textId="33A3E757" w:rsidR="007A3642" w:rsidRPr="00F72810" w:rsidRDefault="00715A73" w:rsidP="007A3642">
      <w:pPr>
        <w:pStyle w:val="Bodyt"/>
      </w:pPr>
      <w:r>
        <w:t>k</w:t>
      </w:r>
      <w:r w:rsidR="007A3642">
        <w:t xml:space="preserve">antsler </w:t>
      </w:r>
      <w:r w:rsidR="007A3642" w:rsidRPr="00F72810">
        <w:t xml:space="preserve">– Tea Trahov (alates </w:t>
      </w:r>
      <w:r w:rsidR="008A5F5A">
        <w:t>1</w:t>
      </w:r>
      <w:r w:rsidR="007A3642" w:rsidRPr="00F72810">
        <w:t xml:space="preserve">. </w:t>
      </w:r>
      <w:r w:rsidR="008A5F5A">
        <w:t>oktoobrist</w:t>
      </w:r>
      <w:r w:rsidR="007A3642">
        <w:t xml:space="preserve"> </w:t>
      </w:r>
      <w:r w:rsidR="007A3642" w:rsidRPr="00F72810">
        <w:t>2021)</w:t>
      </w:r>
      <w:r w:rsidR="007A3642">
        <w:t>.</w:t>
      </w:r>
    </w:p>
    <w:p w14:paraId="40A3587D" w14:textId="77777777" w:rsidR="007A3642" w:rsidRDefault="007A3642" w:rsidP="007A3642">
      <w:pPr>
        <w:pStyle w:val="Loetelu"/>
      </w:pPr>
      <w:r w:rsidRPr="00F72810">
        <w:t xml:space="preserve">Määran vastutusala juhtide tegevusvaldkonnad ja neile alluvad tugistruktuuriüksused järgmiselt: 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835"/>
      </w:tblGrid>
      <w:tr w:rsidR="007A3642" w:rsidRPr="007A3642" w14:paraId="51F602AE" w14:textId="77777777" w:rsidTr="00B454BC">
        <w:trPr>
          <w:trHeight w:val="300"/>
        </w:trPr>
        <w:tc>
          <w:tcPr>
            <w:tcW w:w="2263" w:type="dxa"/>
            <w:shd w:val="clear" w:color="auto" w:fill="auto"/>
            <w:vAlign w:val="center"/>
            <w:hideMark/>
          </w:tcPr>
          <w:p w14:paraId="55868335" w14:textId="77777777" w:rsidR="007A3642" w:rsidRPr="007A3642" w:rsidRDefault="007A3642" w:rsidP="00A6128F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Ametikoht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4647341" w14:textId="77777777" w:rsidR="007A3642" w:rsidRPr="007A3642" w:rsidRDefault="007A3642" w:rsidP="00A6128F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Tegevusvaldkond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A646C7" w14:textId="77777777" w:rsidR="007A3642" w:rsidRPr="007A3642" w:rsidRDefault="007A3642" w:rsidP="00A6128F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Tugistruktuuriüksus</w:t>
            </w:r>
          </w:p>
        </w:tc>
      </w:tr>
      <w:tr w:rsidR="007A3642" w:rsidRPr="00CB39E6" w14:paraId="795BFFF5" w14:textId="77777777" w:rsidTr="00B454BC">
        <w:trPr>
          <w:trHeight w:val="300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5D1A480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36A0B3CB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Teadustegevus, sh doktoriõpe, raamatukogundus ja kirjastustegevus, vastavushindamise teenused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1E3ECC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Raamatukogu</w:t>
            </w:r>
          </w:p>
        </w:tc>
      </w:tr>
      <w:tr w:rsidR="007A3642" w:rsidRPr="00CB39E6" w14:paraId="786156F9" w14:textId="77777777" w:rsidTr="00B454BC">
        <w:trPr>
          <w:trHeight w:val="300"/>
        </w:trPr>
        <w:tc>
          <w:tcPr>
            <w:tcW w:w="2263" w:type="dxa"/>
            <w:vMerge/>
            <w:vAlign w:val="center"/>
            <w:hideMark/>
          </w:tcPr>
          <w:p w14:paraId="597750C4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5162454C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094322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Teadusosakond</w:t>
            </w:r>
          </w:p>
        </w:tc>
      </w:tr>
      <w:tr w:rsidR="007A3642" w:rsidRPr="00CB39E6" w14:paraId="02FB6662" w14:textId="77777777" w:rsidTr="00B454BC">
        <w:trPr>
          <w:trHeight w:val="300"/>
        </w:trPr>
        <w:tc>
          <w:tcPr>
            <w:tcW w:w="2263" w:type="dxa"/>
            <w:vMerge/>
            <w:vAlign w:val="center"/>
            <w:hideMark/>
          </w:tcPr>
          <w:p w14:paraId="495296AD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006B4D62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84569C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TTÜ Sertifitseerimisasutus</w:t>
            </w:r>
          </w:p>
        </w:tc>
      </w:tr>
      <w:tr w:rsidR="007A3642" w:rsidRPr="00CB39E6" w14:paraId="50A72548" w14:textId="77777777" w:rsidTr="00B454BC">
        <w:trPr>
          <w:trHeight w:val="300"/>
        </w:trPr>
        <w:tc>
          <w:tcPr>
            <w:tcW w:w="2263" w:type="dxa"/>
            <w:vMerge/>
            <w:vAlign w:val="center"/>
            <w:hideMark/>
          </w:tcPr>
          <w:p w14:paraId="01937610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1250558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4AB24D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Targa linna tippkeskus</w:t>
            </w:r>
          </w:p>
        </w:tc>
      </w:tr>
      <w:tr w:rsidR="007A3642" w:rsidRPr="00CB39E6" w14:paraId="0CC1B9CD" w14:textId="77777777" w:rsidTr="00B454BC">
        <w:trPr>
          <w:trHeight w:val="300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374E25B5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4C094F78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Õppetegevus (v.a doktoriõpe), koostöö üliõpilaskonnaga ja sporditegevus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3A89B6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Õppeosakond</w:t>
            </w:r>
          </w:p>
        </w:tc>
      </w:tr>
      <w:tr w:rsidR="007A3642" w:rsidRPr="00CB39E6" w14:paraId="34FD191F" w14:textId="77777777" w:rsidTr="00B454BC">
        <w:trPr>
          <w:trHeight w:val="300"/>
        </w:trPr>
        <w:tc>
          <w:tcPr>
            <w:tcW w:w="2263" w:type="dxa"/>
            <w:vMerge/>
            <w:vAlign w:val="center"/>
            <w:hideMark/>
          </w:tcPr>
          <w:p w14:paraId="7F01A72A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7D76F136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10A7AA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Avatud ülikool</w:t>
            </w:r>
          </w:p>
        </w:tc>
      </w:tr>
      <w:tr w:rsidR="007A3642" w:rsidRPr="00CB39E6" w14:paraId="4F5C691A" w14:textId="77777777" w:rsidTr="00B454BC">
        <w:trPr>
          <w:trHeight w:val="525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CB99778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Ettevõtlusprorektor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26F4D54D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Arendustegevus ja teadmussiire, intellektuaalse omandi kaitse, ettevõtlussuhted, vilistlasliikumine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A7A472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Innovatsioonikeskus</w:t>
            </w:r>
          </w:p>
        </w:tc>
      </w:tr>
      <w:tr w:rsidR="007A3642" w:rsidRPr="00CB39E6" w14:paraId="3B0501FC" w14:textId="77777777" w:rsidTr="00B454BC">
        <w:trPr>
          <w:trHeight w:val="540"/>
        </w:trPr>
        <w:tc>
          <w:tcPr>
            <w:tcW w:w="2263" w:type="dxa"/>
            <w:vMerge/>
            <w:vAlign w:val="center"/>
            <w:hideMark/>
          </w:tcPr>
          <w:p w14:paraId="2738F36C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4EDF3C11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5103D1A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Ettevõtlusosakond</w:t>
            </w:r>
          </w:p>
        </w:tc>
      </w:tr>
      <w:tr w:rsidR="007A3642" w:rsidRPr="00CB39E6" w14:paraId="2FEBE0DD" w14:textId="77777777" w:rsidTr="00B454BC">
        <w:trPr>
          <w:trHeight w:val="2625"/>
        </w:trPr>
        <w:tc>
          <w:tcPr>
            <w:tcW w:w="2263" w:type="dxa"/>
            <w:shd w:val="clear" w:color="auto" w:fill="auto"/>
            <w:vAlign w:val="center"/>
            <w:hideMark/>
          </w:tcPr>
          <w:p w14:paraId="4A29FDD5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Rohepöörde prorektor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FBB3B0" w14:textId="19C30A68" w:rsidR="007A3642" w:rsidRPr="00CB39E6" w:rsidRDefault="00E0743A" w:rsidP="008A5F5A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02E10">
              <w:t xml:space="preserve">Linnaku, regionaalsete kolledžite rohemajanduse arengu kavandamine ja juhtimine; säästva arengu põhimõtete lõimimine õppekavadesse ja </w:t>
            </w:r>
            <w:r>
              <w:t>ülikooli</w:t>
            </w:r>
            <w:r w:rsidRPr="00A02E10">
              <w:t xml:space="preserve"> </w:t>
            </w:r>
            <w:r>
              <w:t>teadus</w:t>
            </w:r>
            <w:r w:rsidRPr="00A02E10">
              <w:t xml:space="preserve">tegevustesse; ringmajanduse strateegia; ringmajanduse ja säästva arengu alane koostöö Tallinna ülikoolidega, era- ja avaliku sektoriga ning rahvusvaheline </w:t>
            </w:r>
            <w:r>
              <w:t>võrgustamine [jõustunud 01.02.2022]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294294" w14:textId="7FFC805E" w:rsidR="007A3642" w:rsidRPr="00CB39E6" w:rsidRDefault="00E0743A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t>Kliimanutika tuleviku keskus</w:t>
            </w:r>
            <w:r>
              <w:t xml:space="preserve"> [jõustunud 01.02.2022]</w:t>
            </w:r>
          </w:p>
        </w:tc>
      </w:tr>
      <w:tr w:rsidR="007A3642" w:rsidRPr="00CB39E6" w14:paraId="6CF756FD" w14:textId="77777777" w:rsidTr="00B454BC">
        <w:trPr>
          <w:trHeight w:val="840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071E4180" w14:textId="77777777" w:rsidR="007A3642" w:rsidRPr="00CB39E6" w:rsidRDefault="007A3642" w:rsidP="00A6128F">
            <w:pPr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Kantsler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EC37C5B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IT-taristu ja süsteemide haldus ning arendus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867305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Infotehnoloogia osakond</w:t>
            </w:r>
          </w:p>
        </w:tc>
      </w:tr>
      <w:tr w:rsidR="007A3642" w:rsidRPr="00CB39E6" w14:paraId="5E67B325" w14:textId="77777777" w:rsidTr="00B454BC">
        <w:trPr>
          <w:trHeight w:val="1425"/>
        </w:trPr>
        <w:tc>
          <w:tcPr>
            <w:tcW w:w="2263" w:type="dxa"/>
            <w:vMerge/>
            <w:vAlign w:val="center"/>
            <w:hideMark/>
          </w:tcPr>
          <w:p w14:paraId="67D10F62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A481CF5" w14:textId="360FA1AD" w:rsidR="007A3642" w:rsidRPr="00CB39E6" w:rsidRDefault="00DF58A4" w:rsidP="00A94A6C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 xml:space="preserve">Ülikooli turunduse ja kommunikatsioonitegevuse juhtimine ja elluviimine, mis hõlmab </w:t>
            </w:r>
            <w:proofErr w:type="spellStart"/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sise</w:t>
            </w:r>
            <w:proofErr w:type="spellEnd"/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- ja väliskommunikatsiooni, brändi ja sümboolika, maine- ja vastuvõtuturunduse tegevuste, e-kanalite arengu, ülikooli sündmuste, rahvusvaheliste koostöösuhete koordineerimist ja korraldust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8BD499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Turunduse ja kommunikatsiooni osakond</w:t>
            </w:r>
          </w:p>
        </w:tc>
      </w:tr>
      <w:tr w:rsidR="007A3642" w:rsidRPr="00CB39E6" w14:paraId="55D94250" w14:textId="77777777" w:rsidTr="00B454BC">
        <w:trPr>
          <w:trHeight w:val="975"/>
        </w:trPr>
        <w:tc>
          <w:tcPr>
            <w:tcW w:w="2263" w:type="dxa"/>
            <w:vMerge/>
            <w:vAlign w:val="center"/>
            <w:hideMark/>
          </w:tcPr>
          <w:p w14:paraId="4B5069CF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6F7FC18" w14:textId="1D75D373" w:rsidR="007A3642" w:rsidRPr="00CB39E6" w:rsidRDefault="00DF58A4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Finants-majandustegevuse (sh riigihangete) korraldamine ja arendamine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8F1303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Rahandusosakond</w:t>
            </w:r>
          </w:p>
        </w:tc>
      </w:tr>
      <w:tr w:rsidR="007A3642" w:rsidRPr="00CB39E6" w14:paraId="57EDFCD9" w14:textId="77777777" w:rsidTr="00B454BC">
        <w:trPr>
          <w:trHeight w:val="1020"/>
        </w:trPr>
        <w:tc>
          <w:tcPr>
            <w:tcW w:w="2263" w:type="dxa"/>
            <w:vMerge/>
            <w:vAlign w:val="center"/>
            <w:hideMark/>
          </w:tcPr>
          <w:p w14:paraId="0AD1EA4E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21673C0" w14:textId="4C3D92E2" w:rsidR="007A3642" w:rsidRPr="00CB39E6" w:rsidRDefault="00DF58A4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Ülikooli omandis või kasutuses oleva kinnisvara arendamine ja haldamine, logistikateenuse osutamine ning muu ülikooli üldkasutatava vara korrashoid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63562F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Kinnisvaraosakond</w:t>
            </w:r>
          </w:p>
        </w:tc>
      </w:tr>
      <w:tr w:rsidR="007A3642" w:rsidRPr="00CB39E6" w14:paraId="54DF9649" w14:textId="77777777" w:rsidTr="00B454BC">
        <w:trPr>
          <w:trHeight w:val="2010"/>
        </w:trPr>
        <w:tc>
          <w:tcPr>
            <w:tcW w:w="2263" w:type="dxa"/>
            <w:vMerge/>
            <w:vAlign w:val="center"/>
            <w:hideMark/>
          </w:tcPr>
          <w:p w14:paraId="6009FE60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709824" w14:textId="46125AB3" w:rsidR="007A3642" w:rsidRPr="00CB39E6" w:rsidRDefault="00DF58A4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Personalipoliitika arendamine ja elluviimine ning töösuhete korraldamine</w:t>
            </w:r>
            <w:r w:rsidR="00BC60D2">
              <w:rPr>
                <w:rFonts w:asciiTheme="minorHAnsi" w:hAnsiTheme="minorHAnsi" w:cstheme="minorHAnsi"/>
                <w:szCs w:val="22"/>
                <w:lang w:eastAsia="en-GB"/>
              </w:rPr>
              <w:t>, samuti</w:t>
            </w: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 xml:space="preserve"> arhiivinduse, asjaajamise ning dokumendihalduse korraldamine ja arendamine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89932A" w14:textId="77777777" w:rsidR="007A3642" w:rsidRPr="00CB39E6" w:rsidRDefault="007A3642" w:rsidP="00A6128F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Personaliosakond</w:t>
            </w:r>
          </w:p>
        </w:tc>
      </w:tr>
    </w:tbl>
    <w:p w14:paraId="1CD742A3" w14:textId="5612B69D" w:rsidR="00D87C26" w:rsidRDefault="00D87C26" w:rsidP="007A3642">
      <w:pPr>
        <w:pStyle w:val="Loetelu"/>
      </w:pPr>
      <w:r>
        <w:t xml:space="preserve">Kantsleril leppida finantsdirektori ja haldusdirektori ametikohtade täitjatega töölepingute muudatused </w:t>
      </w:r>
      <w:r w:rsidR="00D75ABF">
        <w:t xml:space="preserve">kokku </w:t>
      </w:r>
      <w:r>
        <w:t>hiljemalt 3</w:t>
      </w:r>
      <w:r w:rsidR="00DF58A4">
        <w:t>1</w:t>
      </w:r>
      <w:r>
        <w:t xml:space="preserve">. </w:t>
      </w:r>
      <w:r w:rsidR="00DF58A4">
        <w:t>oktoobr</w:t>
      </w:r>
      <w:r w:rsidR="00337B4F">
        <w:t>iks</w:t>
      </w:r>
      <w:r w:rsidR="00DF58A4">
        <w:t xml:space="preserve"> </w:t>
      </w:r>
      <w:r>
        <w:t>2021.</w:t>
      </w:r>
    </w:p>
    <w:p w14:paraId="09241BAB" w14:textId="67CA86FD" w:rsidR="007A3642" w:rsidRDefault="007A3642" w:rsidP="007A3642">
      <w:pPr>
        <w:pStyle w:val="Loetelu"/>
      </w:pPr>
      <w:r>
        <w:t>Vastutusala juhtidel viia neile alluvate struktuuriüksuste struktuuri ja ülesannete kirjeldused</w:t>
      </w:r>
      <w:r w:rsidR="00715A73">
        <w:t xml:space="preserve"> </w:t>
      </w:r>
      <w:r>
        <w:t>vastavusse käesoleva käskkirjaga hiljemalt 3</w:t>
      </w:r>
      <w:r w:rsidR="00E22829">
        <w:t>1</w:t>
      </w:r>
      <w:r>
        <w:t xml:space="preserve">. </w:t>
      </w:r>
      <w:r w:rsidR="00337B4F">
        <w:t xml:space="preserve">oktoobriks </w:t>
      </w:r>
      <w:r>
        <w:t>2021.</w:t>
      </w:r>
    </w:p>
    <w:p w14:paraId="4309288B" w14:textId="4B63C43D" w:rsidR="00337B4F" w:rsidRDefault="00337B4F" w:rsidP="00337B4F">
      <w:pPr>
        <w:pStyle w:val="Loetelu"/>
      </w:pPr>
      <w:r>
        <w:t xml:space="preserve">Muudan </w:t>
      </w:r>
      <w:r w:rsidRPr="00471711">
        <w:t xml:space="preserve">rektori 31.03.2021 käskkirja nr 15 „Rektoraadi strateegiabüroo moodustamine, sertifitseerimisasutuse lõpetamine jt muudatused tugistruktuuris“ punkti 14 </w:t>
      </w:r>
      <w:r>
        <w:t>ja sõnastan selle järgmiselt: „14. Käskkirja punktid 2, 3.2 ja 4.3 jõustuvad 1. aprillil 2022 ning ülejäänud osas jõustub käskkiri 1. aprillil 2021.“.</w:t>
      </w:r>
    </w:p>
    <w:p w14:paraId="3A564000" w14:textId="77777777" w:rsidR="00553B30" w:rsidRDefault="00553B30" w:rsidP="00553B30">
      <w:pPr>
        <w:pStyle w:val="Loetelu"/>
      </w:pPr>
      <w:r>
        <w:t>Tunnistan kehtetuks v</w:t>
      </w:r>
      <w:r w:rsidRPr="00553B30">
        <w:t>astutusala juhtide nimetami</w:t>
      </w:r>
      <w:r>
        <w:t>s</w:t>
      </w:r>
      <w:r w:rsidRPr="00553B30">
        <w:t>e ning nende tegevusvaldkondade ja neile alluvate struktuuriüksuste määrami</w:t>
      </w:r>
      <w:r>
        <w:t xml:space="preserve">se (kinnitatud rektori 01.09.2020 käskkirjaga nr 44, muudetud 20.10.2020 käskkirjaga nr 51, 22.12.2020 käskkirjaga nr 55, 31.03.2021 käskkirjaga nr 15 ja 13.05.2021 käskkirjaga nr 20). </w:t>
      </w:r>
    </w:p>
    <w:p w14:paraId="08F9765F" w14:textId="1740D12A" w:rsidR="001B7691" w:rsidRDefault="00DA09F7" w:rsidP="007A3642">
      <w:pPr>
        <w:pStyle w:val="Loetelu"/>
      </w:pPr>
      <w:r>
        <w:t>K</w:t>
      </w:r>
      <w:r w:rsidR="001B7691">
        <w:t xml:space="preserve">äesoleva käskkirja punktis </w:t>
      </w:r>
      <w:r w:rsidR="00367ABE">
        <w:t>6</w:t>
      </w:r>
      <w:r w:rsidR="001B7691">
        <w:t xml:space="preserve"> </w:t>
      </w:r>
      <w:r>
        <w:t xml:space="preserve">nimetatud </w:t>
      </w:r>
      <w:r w:rsidR="001B7691">
        <w:t>käskkir</w:t>
      </w:r>
      <w:r>
        <w:t xml:space="preserve">i kehtib siiski kuni kantsleri ametisse asumiseni 1. oktoobril 2021 selles nimetatud </w:t>
      </w:r>
      <w:r w:rsidR="001B7691">
        <w:t>vastutusala direktori</w:t>
      </w:r>
      <w:r>
        <w:t>te, nende tegevusvaldkondade ja neile alluvate struktuuriüksuste osas</w:t>
      </w:r>
      <w:r w:rsidR="001B7691">
        <w:t>.</w:t>
      </w:r>
    </w:p>
    <w:p w14:paraId="6C36B0D5" w14:textId="4BF495D9" w:rsidR="00337B4F" w:rsidRDefault="00337B4F" w:rsidP="00337B4F">
      <w:pPr>
        <w:pStyle w:val="Loetelu"/>
      </w:pPr>
      <w:r>
        <w:t>Punktis 2 sätestatud teadusprorektori tegevusvaldkonna lauseosa „, vastavushindamise teenused“ ja talle alluva tugistruktuuriüksusena sätestatud lauseosa „TTÜ Sertifitseerimisasutus“ muutuvad kehtetuks 1. aprillil 2022.</w:t>
      </w:r>
    </w:p>
    <w:p w14:paraId="19E20CA7" w14:textId="60067E0A" w:rsidR="00E70DD6" w:rsidRDefault="00E70DD6" w:rsidP="007A3642">
      <w:pPr>
        <w:pStyle w:val="Loetelu"/>
      </w:pPr>
      <w:r>
        <w:t>Käskkir</w:t>
      </w:r>
      <w:r w:rsidR="00367ABE">
        <w:t xml:space="preserve">i jõustub </w:t>
      </w:r>
      <w:r w:rsidR="00337B4F">
        <w:t xml:space="preserve">alates </w:t>
      </w:r>
      <w:r>
        <w:t>6. septembri</w:t>
      </w:r>
      <w:r w:rsidR="00337B4F">
        <w:t>st</w:t>
      </w:r>
      <w:r>
        <w:t xml:space="preserve"> 2021.</w:t>
      </w:r>
      <w:r w:rsidR="004051BA">
        <w:t xml:space="preserve"> </w:t>
      </w:r>
    </w:p>
    <w:p w14:paraId="3F7BC584" w14:textId="577A9879" w:rsidR="001F5F3F" w:rsidRPr="007D4EB8" w:rsidRDefault="001F5F3F" w:rsidP="002016DE">
      <w:pPr>
        <w:pStyle w:val="Allkirjastajanimi"/>
      </w:pPr>
    </w:p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CE11" w14:textId="77777777" w:rsidR="007A3642" w:rsidRDefault="007A3642">
      <w:r>
        <w:separator/>
      </w:r>
    </w:p>
  </w:endnote>
  <w:endnote w:type="continuationSeparator" w:id="0">
    <w:p w14:paraId="519DD6A0" w14:textId="77777777" w:rsidR="007A3642" w:rsidRDefault="007A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751E" w14:textId="77777777" w:rsidR="007A3642" w:rsidRDefault="007A3642">
      <w:r>
        <w:separator/>
      </w:r>
    </w:p>
  </w:footnote>
  <w:footnote w:type="continuationSeparator" w:id="0">
    <w:p w14:paraId="6CCA600A" w14:textId="77777777" w:rsidR="007A3642" w:rsidRDefault="007A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B41F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BD7CA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14:paraId="1D4198CD" w14:textId="6028F3A1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42"/>
    <w:rsid w:val="000033B8"/>
    <w:rsid w:val="00005AB4"/>
    <w:rsid w:val="000341BD"/>
    <w:rsid w:val="000C6FC8"/>
    <w:rsid w:val="001469C5"/>
    <w:rsid w:val="0015159C"/>
    <w:rsid w:val="00166714"/>
    <w:rsid w:val="00166A38"/>
    <w:rsid w:val="00191C92"/>
    <w:rsid w:val="00197DF0"/>
    <w:rsid w:val="001A48DE"/>
    <w:rsid w:val="001B7691"/>
    <w:rsid w:val="001F0C33"/>
    <w:rsid w:val="001F5F3F"/>
    <w:rsid w:val="002016DE"/>
    <w:rsid w:val="00211F80"/>
    <w:rsid w:val="00216D52"/>
    <w:rsid w:val="00223C38"/>
    <w:rsid w:val="002431BD"/>
    <w:rsid w:val="00256971"/>
    <w:rsid w:val="0026472F"/>
    <w:rsid w:val="00266E9B"/>
    <w:rsid w:val="0027461F"/>
    <w:rsid w:val="002852FB"/>
    <w:rsid w:val="0029618B"/>
    <w:rsid w:val="00296B12"/>
    <w:rsid w:val="002B25B9"/>
    <w:rsid w:val="002F4CFD"/>
    <w:rsid w:val="002F539C"/>
    <w:rsid w:val="0030318C"/>
    <w:rsid w:val="003111FD"/>
    <w:rsid w:val="00337B4F"/>
    <w:rsid w:val="00356968"/>
    <w:rsid w:val="00367ABE"/>
    <w:rsid w:val="003A5175"/>
    <w:rsid w:val="003B1E0E"/>
    <w:rsid w:val="003B3D76"/>
    <w:rsid w:val="003B5D1F"/>
    <w:rsid w:val="003E47C5"/>
    <w:rsid w:val="003E79CA"/>
    <w:rsid w:val="003F6316"/>
    <w:rsid w:val="004051BA"/>
    <w:rsid w:val="0045325C"/>
    <w:rsid w:val="00471711"/>
    <w:rsid w:val="00490791"/>
    <w:rsid w:val="004A1266"/>
    <w:rsid w:val="004A2187"/>
    <w:rsid w:val="004A6074"/>
    <w:rsid w:val="004A7ED8"/>
    <w:rsid w:val="004B123F"/>
    <w:rsid w:val="004B2413"/>
    <w:rsid w:val="004B56CD"/>
    <w:rsid w:val="004C4600"/>
    <w:rsid w:val="004E5E60"/>
    <w:rsid w:val="004F66FD"/>
    <w:rsid w:val="00547C19"/>
    <w:rsid w:val="00553B30"/>
    <w:rsid w:val="005548D8"/>
    <w:rsid w:val="00581B1E"/>
    <w:rsid w:val="005916D1"/>
    <w:rsid w:val="00594466"/>
    <w:rsid w:val="005A1C49"/>
    <w:rsid w:val="005A6D30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6A39"/>
    <w:rsid w:val="006B325A"/>
    <w:rsid w:val="006D753A"/>
    <w:rsid w:val="006E287D"/>
    <w:rsid w:val="00715A73"/>
    <w:rsid w:val="007402B4"/>
    <w:rsid w:val="00780A0D"/>
    <w:rsid w:val="00795AF6"/>
    <w:rsid w:val="007A3642"/>
    <w:rsid w:val="007A4F68"/>
    <w:rsid w:val="007D4EB8"/>
    <w:rsid w:val="00800B6E"/>
    <w:rsid w:val="00821FA5"/>
    <w:rsid w:val="00844750"/>
    <w:rsid w:val="008A073D"/>
    <w:rsid w:val="008A5F5A"/>
    <w:rsid w:val="008B6D49"/>
    <w:rsid w:val="008D2DCA"/>
    <w:rsid w:val="008D3687"/>
    <w:rsid w:val="008F28A4"/>
    <w:rsid w:val="009545D3"/>
    <w:rsid w:val="0099318A"/>
    <w:rsid w:val="009B5254"/>
    <w:rsid w:val="009D638A"/>
    <w:rsid w:val="009E47B5"/>
    <w:rsid w:val="009F71F0"/>
    <w:rsid w:val="00A03E2A"/>
    <w:rsid w:val="00A102E6"/>
    <w:rsid w:val="00A15B45"/>
    <w:rsid w:val="00A51164"/>
    <w:rsid w:val="00A6532D"/>
    <w:rsid w:val="00A80116"/>
    <w:rsid w:val="00A80EC2"/>
    <w:rsid w:val="00A86954"/>
    <w:rsid w:val="00A94A6C"/>
    <w:rsid w:val="00AB7B24"/>
    <w:rsid w:val="00AD21AD"/>
    <w:rsid w:val="00AD5469"/>
    <w:rsid w:val="00AF673B"/>
    <w:rsid w:val="00B2532E"/>
    <w:rsid w:val="00B454BC"/>
    <w:rsid w:val="00B5337C"/>
    <w:rsid w:val="00B71485"/>
    <w:rsid w:val="00BA5708"/>
    <w:rsid w:val="00BB7B8E"/>
    <w:rsid w:val="00BC5E2B"/>
    <w:rsid w:val="00BC60D2"/>
    <w:rsid w:val="00C01636"/>
    <w:rsid w:val="00C0214C"/>
    <w:rsid w:val="00C3154A"/>
    <w:rsid w:val="00C55AEF"/>
    <w:rsid w:val="00C60750"/>
    <w:rsid w:val="00C70788"/>
    <w:rsid w:val="00C720C2"/>
    <w:rsid w:val="00C82D40"/>
    <w:rsid w:val="00CB170A"/>
    <w:rsid w:val="00CC001A"/>
    <w:rsid w:val="00CF503E"/>
    <w:rsid w:val="00D22E9C"/>
    <w:rsid w:val="00D26F57"/>
    <w:rsid w:val="00D322A6"/>
    <w:rsid w:val="00D43664"/>
    <w:rsid w:val="00D50919"/>
    <w:rsid w:val="00D601E2"/>
    <w:rsid w:val="00D75ABF"/>
    <w:rsid w:val="00D82B72"/>
    <w:rsid w:val="00D87C26"/>
    <w:rsid w:val="00D9452F"/>
    <w:rsid w:val="00DA09F7"/>
    <w:rsid w:val="00DD10D0"/>
    <w:rsid w:val="00DF58A4"/>
    <w:rsid w:val="00E00818"/>
    <w:rsid w:val="00E06DE7"/>
    <w:rsid w:val="00E0743A"/>
    <w:rsid w:val="00E22829"/>
    <w:rsid w:val="00E24674"/>
    <w:rsid w:val="00E33B87"/>
    <w:rsid w:val="00E44CAE"/>
    <w:rsid w:val="00E47576"/>
    <w:rsid w:val="00E51D5F"/>
    <w:rsid w:val="00E66704"/>
    <w:rsid w:val="00E70DD6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F06F8D"/>
    <w:rsid w:val="00F44F64"/>
    <w:rsid w:val="00F46FA9"/>
    <w:rsid w:val="00FC7613"/>
    <w:rsid w:val="00FD2870"/>
    <w:rsid w:val="00FD325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655FE76"/>
  <w15:docId w15:val="{D3C619F3-258E-49D2-90AA-2B2B875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A5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5F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94A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4A6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4A6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A6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.Hiob\Downloads\Kaskkiri_delt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(5)</Template>
  <TotalTime>12</TotalTime>
  <Pages>2</Pages>
  <Words>433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Laur Hiob</dc:creator>
  <cp:keywords/>
  <dc:description/>
  <cp:lastModifiedBy>Kairi Schütz</cp:lastModifiedBy>
  <cp:revision>9</cp:revision>
  <cp:lastPrinted>2002-08-26T08:36:00Z</cp:lastPrinted>
  <dcterms:created xsi:type="dcterms:W3CDTF">2021-09-09T11:10:00Z</dcterms:created>
  <dcterms:modified xsi:type="dcterms:W3CDTF">2022-02-03T13:24:00Z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