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64" w:rsidRDefault="00D24864" w:rsidP="00D24864">
      <w:pPr>
        <w:pStyle w:val="Body"/>
        <w:jc w:val="right"/>
      </w:pPr>
      <w:r>
        <w:t xml:space="preserve">ALGTEKST-TERVIKTEKST </w:t>
      </w:r>
    </w:p>
    <w:p w:rsidR="00A738C7" w:rsidRDefault="00D24864" w:rsidP="00D24864">
      <w:pPr>
        <w:pStyle w:val="Body"/>
      </w:pPr>
      <w:r>
        <w:t xml:space="preserve">Kinnitatud </w:t>
      </w:r>
      <w:r w:rsidR="006E0444">
        <w:t>haldusdirektori</w:t>
      </w:r>
      <w:r w:rsidR="00A738C7">
        <w:t xml:space="preserve"> </w:t>
      </w:r>
      <w:r>
        <w:t xml:space="preserve">22.10.2018 </w:t>
      </w:r>
      <w:r w:rsidR="00A738C7">
        <w:t xml:space="preserve">korraldusega nr </w:t>
      </w:r>
      <w:r>
        <w:t>164</w:t>
      </w:r>
    </w:p>
    <w:p w:rsidR="00D24864" w:rsidRDefault="00D24864" w:rsidP="00D24864">
      <w:pPr>
        <w:pStyle w:val="Body"/>
      </w:pPr>
    </w:p>
    <w:p w:rsidR="00D24864" w:rsidRDefault="00D24864" w:rsidP="00D24864">
      <w:pPr>
        <w:pStyle w:val="Body"/>
      </w:pPr>
      <w:r w:rsidRPr="00D24864">
        <w:t xml:space="preserve">Redaktsiooni jõustumise kuupäev: </w:t>
      </w:r>
      <w:r w:rsidR="00D87FCA">
        <w:t>22.10.2018</w:t>
      </w:r>
      <w:bookmarkStart w:id="0" w:name="_GoBack"/>
      <w:bookmarkEnd w:id="0"/>
    </w:p>
    <w:p w:rsidR="00B130E3" w:rsidRPr="00204EC0" w:rsidRDefault="006E0444" w:rsidP="00D72E9E">
      <w:pPr>
        <w:pStyle w:val="Lisapealkiri"/>
        <w:tabs>
          <w:tab w:val="clear" w:pos="6521"/>
        </w:tabs>
      </w:pPr>
      <w:r>
        <w:t>V</w:t>
      </w:r>
      <w:r w:rsidRPr="006E0444">
        <w:t>alveseadmestiku kasutam</w:t>
      </w:r>
      <w:r>
        <w:t>ise ja andmete töötlemise juhis</w:t>
      </w:r>
    </w:p>
    <w:p w:rsidR="00B130E3" w:rsidRPr="008F319E" w:rsidRDefault="002F5214" w:rsidP="00DA22E6">
      <w:pPr>
        <w:pStyle w:val="ListParagraph"/>
        <w:numPr>
          <w:ilvl w:val="0"/>
          <w:numId w:val="8"/>
        </w:numPr>
        <w:spacing w:before="120"/>
        <w:rPr>
          <w:rFonts w:ascii="Calibri" w:hAnsi="Calibri" w:cs="Calibri"/>
          <w:b/>
          <w:sz w:val="22"/>
          <w:szCs w:val="22"/>
          <w:lang w:val="et-EE"/>
        </w:rPr>
      </w:pPr>
      <w:r w:rsidRPr="008F319E">
        <w:rPr>
          <w:rFonts w:ascii="Calibri" w:hAnsi="Calibri" w:cs="Calibri"/>
          <w:b/>
          <w:sz w:val="22"/>
          <w:szCs w:val="22"/>
          <w:lang w:val="et-EE"/>
        </w:rPr>
        <w:t>Üldsätted</w:t>
      </w:r>
    </w:p>
    <w:p w:rsidR="002F5214" w:rsidRPr="008F319E" w:rsidRDefault="002F5214" w:rsidP="00E31835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 xml:space="preserve">Valveseadmestiku kasutamise ja andmete töötlemise juhisega (edaspidi </w:t>
      </w:r>
      <w:r w:rsidRPr="008F319E">
        <w:rPr>
          <w:rFonts w:ascii="Calibri" w:hAnsi="Calibri" w:cs="Calibri"/>
          <w:i/>
          <w:sz w:val="22"/>
          <w:szCs w:val="22"/>
          <w:lang w:val="et-EE"/>
        </w:rPr>
        <w:t>juhis</w:t>
      </w:r>
      <w:r w:rsidRPr="008F319E">
        <w:rPr>
          <w:rFonts w:ascii="Calibri" w:hAnsi="Calibri" w:cs="Calibri"/>
          <w:sz w:val="22"/>
          <w:szCs w:val="22"/>
          <w:lang w:val="et-EE"/>
        </w:rPr>
        <w:t xml:space="preserve">) reguleeritakse valveseadmestiku kasutamist ja andmete töötlemist Tallinna Tehnikaülikoolis (edaspidi </w:t>
      </w:r>
      <w:r w:rsidR="00AA5AB7">
        <w:rPr>
          <w:rFonts w:ascii="Calibri" w:hAnsi="Calibri" w:cs="Calibri"/>
          <w:i/>
          <w:sz w:val="22"/>
          <w:szCs w:val="22"/>
          <w:lang w:val="et-EE"/>
        </w:rPr>
        <w:t>ülikool</w:t>
      </w:r>
      <w:r w:rsidRPr="008F319E">
        <w:rPr>
          <w:rFonts w:ascii="Calibri" w:hAnsi="Calibri" w:cs="Calibri"/>
          <w:sz w:val="22"/>
          <w:szCs w:val="22"/>
          <w:lang w:val="et-EE"/>
        </w:rPr>
        <w:t>).</w:t>
      </w:r>
    </w:p>
    <w:p w:rsidR="002F5214" w:rsidRPr="008F319E" w:rsidRDefault="002F5214" w:rsidP="00E31835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Valvesea</w:t>
      </w:r>
      <w:r w:rsidR="00AA5AB7">
        <w:rPr>
          <w:rFonts w:ascii="Calibri" w:hAnsi="Calibri" w:cs="Calibri"/>
          <w:sz w:val="22"/>
          <w:szCs w:val="22"/>
          <w:lang w:val="et-EE"/>
        </w:rPr>
        <w:t xml:space="preserve">dmestiku kasutamisel lähtub ülikool </w:t>
      </w:r>
      <w:r w:rsidRPr="008F319E">
        <w:rPr>
          <w:rFonts w:ascii="Calibri" w:hAnsi="Calibri" w:cs="Calibri"/>
          <w:sz w:val="22"/>
          <w:szCs w:val="22"/>
          <w:lang w:val="et-EE"/>
        </w:rPr>
        <w:t xml:space="preserve">Euroopa Liidu isikuandmete kaitse </w:t>
      </w:r>
      <w:proofErr w:type="spellStart"/>
      <w:r w:rsidRPr="008F319E">
        <w:rPr>
          <w:rFonts w:ascii="Calibri" w:hAnsi="Calibri" w:cs="Calibri"/>
          <w:sz w:val="22"/>
          <w:szCs w:val="22"/>
          <w:lang w:val="et-EE"/>
        </w:rPr>
        <w:t>üldmääruses</w:t>
      </w:r>
      <w:proofErr w:type="spellEnd"/>
      <w:r w:rsidRPr="008F319E">
        <w:rPr>
          <w:rFonts w:ascii="Calibri" w:hAnsi="Calibri" w:cs="Calibri"/>
          <w:sz w:val="22"/>
          <w:szCs w:val="22"/>
          <w:lang w:val="et-EE"/>
        </w:rPr>
        <w:t>, Eesti isikuandmete kaitse seaduses ja turvaseaduses sätestatud nõuetest ning Andmekaitse Inspektsiooni poolt õigusaktide rakendamiseks antud isikuandmete töötlemise ja kaitse alastest soovituslikest juhistest.</w:t>
      </w:r>
    </w:p>
    <w:p w:rsidR="002F5214" w:rsidRPr="008F319E" w:rsidRDefault="002F5214" w:rsidP="00E31835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Valveseadmestik</w:t>
      </w:r>
      <w:r w:rsidR="00AA5AB7">
        <w:rPr>
          <w:rFonts w:ascii="Calibri" w:hAnsi="Calibri" w:cs="Calibri"/>
          <w:sz w:val="22"/>
          <w:szCs w:val="22"/>
          <w:lang w:val="et-EE"/>
        </w:rPr>
        <w:t>ku kasutatakse ülikooli</w:t>
      </w:r>
      <w:r w:rsidRPr="008F319E">
        <w:rPr>
          <w:rFonts w:ascii="Calibri" w:hAnsi="Calibri" w:cs="Calibri"/>
          <w:sz w:val="22"/>
          <w:szCs w:val="22"/>
          <w:lang w:val="et-EE"/>
        </w:rPr>
        <w:t xml:space="preserve"> hoonetes ja territooriumidel asuva vara kaitseks, isikute läbipääsu ja turvalisuse tagamiseks.</w:t>
      </w:r>
    </w:p>
    <w:p w:rsidR="002F5214" w:rsidRPr="008F319E" w:rsidRDefault="002F5214" w:rsidP="00E31835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Valveseadmestikku kasutatakse:</w:t>
      </w:r>
    </w:p>
    <w:p w:rsidR="002F5214" w:rsidRPr="008F319E" w:rsidRDefault="002F5214" w:rsidP="00E31835">
      <w:pPr>
        <w:pStyle w:val="ListParagraph"/>
        <w:numPr>
          <w:ilvl w:val="2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isikute ja vara läbipääsu võimaldamiseks;</w:t>
      </w:r>
    </w:p>
    <w:p w:rsidR="002F5214" w:rsidRPr="008F319E" w:rsidRDefault="002F5214" w:rsidP="00E31835">
      <w:pPr>
        <w:pStyle w:val="ListParagraph"/>
        <w:numPr>
          <w:ilvl w:val="2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vara säilimist ja isikute turvalisust ohustava olukorra ennetamiseks;</w:t>
      </w:r>
    </w:p>
    <w:p w:rsidR="002F5214" w:rsidRPr="008F319E" w:rsidRDefault="002F5214" w:rsidP="00E31835">
      <w:pPr>
        <w:pStyle w:val="ListParagraph"/>
        <w:numPr>
          <w:ilvl w:val="2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ohuolukorrale reageerimiseks;</w:t>
      </w:r>
    </w:p>
    <w:p w:rsidR="002F5214" w:rsidRPr="008F319E" w:rsidRDefault="002F5214" w:rsidP="00E31835">
      <w:pPr>
        <w:pStyle w:val="ListParagraph"/>
        <w:numPr>
          <w:ilvl w:val="2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vara või isiku kahjustamisel kahju tekitaja või süüteo toimepanija väljaselgitamiseks.</w:t>
      </w:r>
    </w:p>
    <w:p w:rsidR="002F5214" w:rsidRPr="008F319E" w:rsidRDefault="002F5214" w:rsidP="00220838">
      <w:pPr>
        <w:pStyle w:val="ListParagraph"/>
        <w:numPr>
          <w:ilvl w:val="0"/>
          <w:numId w:val="8"/>
        </w:numPr>
        <w:spacing w:before="120"/>
        <w:contextualSpacing w:val="0"/>
        <w:rPr>
          <w:rFonts w:ascii="Calibri" w:hAnsi="Calibri" w:cs="Calibri"/>
          <w:b/>
          <w:sz w:val="22"/>
          <w:szCs w:val="22"/>
          <w:lang w:val="et-EE"/>
        </w:rPr>
      </w:pPr>
      <w:r w:rsidRPr="008F319E">
        <w:rPr>
          <w:rFonts w:ascii="Calibri" w:hAnsi="Calibri" w:cs="Calibri"/>
          <w:b/>
          <w:sz w:val="22"/>
          <w:szCs w:val="22"/>
          <w:lang w:val="et-EE"/>
        </w:rPr>
        <w:t>Juhises kasutatavad mõisted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Valveseadmestik käesoleva juhise tähenduses on häire- või jälgimisseadmestik, mis on ette nähtud sissetungi, muu ründe või valveobjekti ähvardava ohu avastamiseks.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Häireseadmestik käesoleva juhise tähenduses on seadmete kogum, mis on ette nähtud isikut või vara ähvardava ohu või isiku või vara vastu toimepandud ründe avastamiseks ja häireteate edastamiseks.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Jälgimisseadmestik käesoleva juhise tähenduses on elektroonilist signaali või pilti edastavate ja salvestavate seadmete kogum, mis on ette nähtud:</w:t>
      </w:r>
    </w:p>
    <w:p w:rsidR="002F5214" w:rsidRPr="008F319E" w:rsidRDefault="002F5214" w:rsidP="00DA22E6">
      <w:pPr>
        <w:pStyle w:val="ListParagraph"/>
        <w:numPr>
          <w:ilvl w:val="2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territooriumi, isiku, eseme või protsessi jälgimiseks;</w:t>
      </w:r>
    </w:p>
    <w:p w:rsidR="002F5214" w:rsidRPr="008F319E" w:rsidRDefault="002F5214" w:rsidP="00DA22E6">
      <w:pPr>
        <w:pStyle w:val="ListParagraph"/>
        <w:numPr>
          <w:ilvl w:val="2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territooriumi, isiku või eseme asukoha või protsessi toimumise koha kindlaksmääramiseks;</w:t>
      </w:r>
    </w:p>
    <w:p w:rsidR="002F5214" w:rsidRPr="008F319E" w:rsidRDefault="002F5214" w:rsidP="00DA22E6">
      <w:pPr>
        <w:pStyle w:val="ListParagraph"/>
        <w:numPr>
          <w:ilvl w:val="2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isikut või vara ähvardava ohu avastamiseks;</w:t>
      </w:r>
    </w:p>
    <w:p w:rsidR="002F5214" w:rsidRPr="008F319E" w:rsidRDefault="002F5214" w:rsidP="00DA22E6">
      <w:pPr>
        <w:pStyle w:val="ListParagraph"/>
        <w:numPr>
          <w:ilvl w:val="2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isiku või vara vastu toimepandud ründe avastamiseks ja häireteate edastamiseks.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Jälgimisseadmestik jaguneb käesoleva juhise tähenduses:</w:t>
      </w:r>
    </w:p>
    <w:p w:rsidR="002F5214" w:rsidRPr="008F319E" w:rsidRDefault="002F5214" w:rsidP="00DA22E6">
      <w:pPr>
        <w:pStyle w:val="ListParagraph"/>
        <w:numPr>
          <w:ilvl w:val="2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Läbipääsu- ja valvesüsteem;</w:t>
      </w:r>
    </w:p>
    <w:p w:rsidR="002F5214" w:rsidRPr="008F319E" w:rsidRDefault="002F5214" w:rsidP="00DA22E6">
      <w:pPr>
        <w:pStyle w:val="ListParagraph"/>
        <w:numPr>
          <w:ilvl w:val="2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Videovalvesüsteem.</w:t>
      </w:r>
    </w:p>
    <w:p w:rsidR="002F5214" w:rsidRPr="008F319E" w:rsidRDefault="002F5214" w:rsidP="00220838">
      <w:pPr>
        <w:pStyle w:val="ListParagraph"/>
        <w:numPr>
          <w:ilvl w:val="0"/>
          <w:numId w:val="8"/>
        </w:numPr>
        <w:spacing w:before="120"/>
        <w:contextualSpacing w:val="0"/>
        <w:rPr>
          <w:rFonts w:ascii="Calibri" w:hAnsi="Calibri" w:cs="Calibri"/>
          <w:b/>
          <w:sz w:val="22"/>
          <w:szCs w:val="22"/>
          <w:lang w:val="et-EE"/>
        </w:rPr>
      </w:pPr>
      <w:r w:rsidRPr="008F319E">
        <w:rPr>
          <w:rFonts w:ascii="Calibri" w:hAnsi="Calibri" w:cs="Calibri"/>
          <w:b/>
          <w:sz w:val="22"/>
          <w:szCs w:val="22"/>
          <w:lang w:val="et-EE"/>
        </w:rPr>
        <w:t>Läbipääsu- ja valvesüsteemi kasutamine ning andmete töötlemine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 xml:space="preserve">Läbipääsu- ja valvesüsteemi kasutatakse ja selle andmeid töödeldakse ainult isikute läbipääsu ja vara kaitse tagamise eesmärgil. </w:t>
      </w:r>
    </w:p>
    <w:p w:rsidR="002F5214" w:rsidRPr="008F319E" w:rsidRDefault="00AA5AB7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Ülikooli</w:t>
      </w:r>
      <w:r w:rsidR="002F5214" w:rsidRPr="008F319E">
        <w:rPr>
          <w:rFonts w:ascii="Calibri" w:hAnsi="Calibri" w:cs="Calibri"/>
          <w:sz w:val="22"/>
          <w:szCs w:val="22"/>
          <w:lang w:val="et-EE"/>
        </w:rPr>
        <w:t xml:space="preserve"> turvatalitus võib väljastada läbipääsu- ja valvesüsteemi andmeid ilma isiku nimeta struktuuriüksuse juhi põhjendatud kirjaliku taotluse alusel.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Läbipääsu- ja valvesüsteemi andmeid võib väljastada isikustatud kujul i</w:t>
      </w:r>
      <w:r w:rsidR="00AA5AB7">
        <w:rPr>
          <w:rFonts w:ascii="Calibri" w:hAnsi="Calibri" w:cs="Calibri"/>
          <w:sz w:val="22"/>
          <w:szCs w:val="22"/>
          <w:lang w:val="et-EE"/>
        </w:rPr>
        <w:t>sikule endale ja menetluseks ülikooli</w:t>
      </w:r>
      <w:r w:rsidRPr="008F319E">
        <w:rPr>
          <w:rFonts w:ascii="Calibri" w:hAnsi="Calibri" w:cs="Calibri"/>
          <w:sz w:val="22"/>
          <w:szCs w:val="22"/>
          <w:lang w:val="et-EE"/>
        </w:rPr>
        <w:t xml:space="preserve"> moodustatud komisjonile ning riigi poolt menetlust läbiviivale organile.</w:t>
      </w:r>
    </w:p>
    <w:p w:rsidR="002F5214" w:rsidRPr="008F319E" w:rsidRDefault="002F5214" w:rsidP="00DA22E6">
      <w:pPr>
        <w:numPr>
          <w:ilvl w:val="1"/>
          <w:numId w:val="8"/>
        </w:numPr>
        <w:rPr>
          <w:rFonts w:cs="Calibri"/>
          <w:szCs w:val="22"/>
        </w:rPr>
      </w:pPr>
      <w:r w:rsidRPr="008F319E">
        <w:rPr>
          <w:rFonts w:cs="Calibri"/>
          <w:szCs w:val="22"/>
        </w:rPr>
        <w:t>Läbipääsu- ja valvesüsteemi andmeid säilitatakse kuni 1 aasta.</w:t>
      </w:r>
    </w:p>
    <w:p w:rsidR="002F5214" w:rsidRPr="008F319E" w:rsidRDefault="002F5214" w:rsidP="00220838">
      <w:pPr>
        <w:pStyle w:val="ListParagraph"/>
        <w:numPr>
          <w:ilvl w:val="0"/>
          <w:numId w:val="8"/>
        </w:numPr>
        <w:spacing w:before="120"/>
        <w:contextualSpacing w:val="0"/>
        <w:rPr>
          <w:rFonts w:ascii="Calibri" w:hAnsi="Calibri" w:cs="Calibri"/>
          <w:b/>
          <w:sz w:val="22"/>
          <w:szCs w:val="22"/>
          <w:lang w:val="et-EE"/>
        </w:rPr>
      </w:pPr>
      <w:r w:rsidRPr="008F319E">
        <w:rPr>
          <w:rFonts w:ascii="Calibri" w:hAnsi="Calibri" w:cs="Calibri"/>
          <w:b/>
          <w:sz w:val="22"/>
          <w:szCs w:val="22"/>
          <w:lang w:val="et-EE"/>
        </w:rPr>
        <w:t>Videovalvesüsteemi paigaldamine ja kasutamine ning andmete töötlemine</w:t>
      </w:r>
    </w:p>
    <w:p w:rsidR="002F5214" w:rsidRPr="008F319E" w:rsidRDefault="002F5214" w:rsidP="00DA22E6">
      <w:pPr>
        <w:numPr>
          <w:ilvl w:val="1"/>
          <w:numId w:val="8"/>
        </w:numPr>
        <w:rPr>
          <w:rFonts w:cs="Calibri"/>
          <w:szCs w:val="22"/>
        </w:rPr>
      </w:pPr>
      <w:r w:rsidRPr="008F319E">
        <w:rPr>
          <w:rFonts w:cs="Calibri"/>
          <w:szCs w:val="22"/>
        </w:rPr>
        <w:t xml:space="preserve">Videovalvesüsteemi kasutatakse ja selle andmeid töödeldakse isikute ja vara turvalisuse tagamise eesmärgil. 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Videovalvesüsteemi paigaldamisel ja kasutamisel arvestavad selle paigaldaja ja kasutaja, et videovalvesüsteemiga ei kahjustataks ülemääraselt andmesubjekti õigustatud huve.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Vajadusel eelneb videovalvesüsteemi paigaldamisele andmekaitsealase mõjuhinnangu läbiviimine paigaldaja ja kasutaja poolt. Otsuse andmekaitsealase mõjuhinnangu vajaduse kohta teeb isikuandmete ja riigisaladuse kaitset korraldav isik.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Paigaldatud videovalvesüsteemi puhul tehakse vajadusel ohtude ja nende maandamiseks rakendatavate meetmete analüüs kasutaja poolt.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lastRenderedPageBreak/>
        <w:t>Vid</w:t>
      </w:r>
      <w:r w:rsidR="00AA5AB7">
        <w:rPr>
          <w:rFonts w:ascii="Calibri" w:hAnsi="Calibri" w:cs="Calibri"/>
          <w:sz w:val="22"/>
          <w:szCs w:val="22"/>
          <w:lang w:val="et-EE"/>
        </w:rPr>
        <w:t>eovalvesüsteemi kasutamisest ülikooli</w:t>
      </w:r>
      <w:r w:rsidRPr="008F319E">
        <w:rPr>
          <w:rFonts w:ascii="Calibri" w:hAnsi="Calibri" w:cs="Calibri"/>
          <w:sz w:val="22"/>
          <w:szCs w:val="22"/>
          <w:lang w:val="et-EE"/>
        </w:rPr>
        <w:t xml:space="preserve"> hoonetes ja territooriumidel teavitatakse jälgitava ala ette nähtavale kohale paigaldatud kleepmärgistel, millel on videokaamera kujutis ja turvateenistuse kontaktandmed.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Videovalvesüsteem tuleb seadistada selliselt, et igal volitatud kasutajal on süsteemi sisenemiseks oma kasutajanimi ja parool.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Videovalvesüsteemis peab  olema võimalik tagantjärele kindlaks teha kes, millal ja milliseid andmeid töötles (vaatas, muutis, kustutas, salvestas).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Videovalvesüsteemi andmeid võivad töödelda vastavalt vol</w:t>
      </w:r>
      <w:r w:rsidR="00AA5AB7">
        <w:rPr>
          <w:rFonts w:ascii="Calibri" w:hAnsi="Calibri" w:cs="Calibri"/>
          <w:sz w:val="22"/>
          <w:szCs w:val="22"/>
          <w:lang w:val="et-EE"/>
        </w:rPr>
        <w:t>itustele ja tegevusjuhistele ülikooli</w:t>
      </w:r>
      <w:r w:rsidRPr="008F319E">
        <w:rPr>
          <w:rFonts w:ascii="Calibri" w:hAnsi="Calibri" w:cs="Calibri"/>
          <w:sz w:val="22"/>
          <w:szCs w:val="22"/>
          <w:lang w:val="et-EE"/>
        </w:rPr>
        <w:t xml:space="preserve"> turvatalituse (edaspidi </w:t>
      </w:r>
      <w:r w:rsidRPr="008F319E">
        <w:rPr>
          <w:rFonts w:ascii="Calibri" w:hAnsi="Calibri" w:cs="Calibri"/>
          <w:i/>
          <w:sz w:val="22"/>
          <w:szCs w:val="22"/>
          <w:lang w:val="et-EE"/>
        </w:rPr>
        <w:t>turvatalitus</w:t>
      </w:r>
      <w:r w:rsidR="00AA5AB7">
        <w:rPr>
          <w:rFonts w:ascii="Calibri" w:hAnsi="Calibri" w:cs="Calibri"/>
          <w:sz w:val="22"/>
          <w:szCs w:val="22"/>
          <w:lang w:val="et-EE"/>
        </w:rPr>
        <w:t>) ja ülikooli</w:t>
      </w:r>
      <w:r w:rsidRPr="008F319E">
        <w:rPr>
          <w:rFonts w:ascii="Calibri" w:hAnsi="Calibri" w:cs="Calibri"/>
          <w:sz w:val="22"/>
          <w:szCs w:val="22"/>
          <w:lang w:val="et-EE"/>
        </w:rPr>
        <w:t xml:space="preserve">le valveteenust osutava ettevõtte töötajad (edaspidi </w:t>
      </w:r>
      <w:r w:rsidRPr="008F319E">
        <w:rPr>
          <w:rFonts w:ascii="Calibri" w:hAnsi="Calibri" w:cs="Calibri"/>
          <w:i/>
          <w:sz w:val="22"/>
          <w:szCs w:val="22"/>
          <w:lang w:val="et-EE"/>
        </w:rPr>
        <w:t>valvetöötajad</w:t>
      </w:r>
      <w:r w:rsidRPr="008F319E">
        <w:rPr>
          <w:rFonts w:ascii="Calibri" w:hAnsi="Calibri" w:cs="Calibri"/>
          <w:sz w:val="22"/>
          <w:szCs w:val="22"/>
          <w:lang w:val="et-EE"/>
        </w:rPr>
        <w:t>).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Valvetöötajad jälgivad videovalvekaamera pilti vastavalt tegevusjuhistele reaalajas, ohu kahtluse korral, ohuolukorras või korrarikkumise kohta teate saamisel ning vaatavad videovalvesüsteemi salvestisi läbi põhjendatud vajaduse korral.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Turvatalituse töötajad ja valvetöötajad tagavad videovalvesüsteemi kasutades, et selle andmetele ei pääseks ligi vastava õiguseta isikud.</w:t>
      </w:r>
    </w:p>
    <w:p w:rsidR="002F5214" w:rsidRPr="008F319E" w:rsidRDefault="002F5214" w:rsidP="00220838">
      <w:pPr>
        <w:pStyle w:val="ListParagraph"/>
        <w:numPr>
          <w:ilvl w:val="0"/>
          <w:numId w:val="8"/>
        </w:numPr>
        <w:spacing w:before="120"/>
        <w:contextualSpacing w:val="0"/>
        <w:rPr>
          <w:rFonts w:ascii="Calibri" w:hAnsi="Calibri" w:cs="Calibri"/>
          <w:b/>
          <w:sz w:val="22"/>
          <w:szCs w:val="22"/>
          <w:lang w:val="et-EE"/>
        </w:rPr>
      </w:pPr>
      <w:r w:rsidRPr="008F319E">
        <w:rPr>
          <w:rFonts w:ascii="Calibri" w:hAnsi="Calibri" w:cs="Calibri"/>
          <w:b/>
          <w:sz w:val="22"/>
          <w:szCs w:val="22"/>
          <w:lang w:val="et-EE"/>
        </w:rPr>
        <w:t>Videovalvesüsteemi andmetele juurdepääsu võimaldamine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contextualSpacing w:val="0"/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Turvaintsidendi korral on isikul võimalik pöörduda riikliku asutuse poole, kellele väljastatakse vastav videosalvestis.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Turvaintsidendi kahtluse korral on isikul võimalik kontrollida sündmuse jäädvustust, taotledes turvatalituse juhatajalt videosalvestise läbivaatlust kirjalikult, märkides taotlusel põhjuse salvestise läbivaatluseks ning aja ja koha, kus sündmus toimus.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Turvatalituse juhataja annab isikule tagasiside ja soovitused edasisteks tegevusteks.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Riiklikud asutused ja selle töötajad, kes menetlevad intsidente ja kellel on s</w:t>
      </w:r>
      <w:r w:rsidR="00AA5AB7">
        <w:rPr>
          <w:rFonts w:ascii="Calibri" w:hAnsi="Calibri" w:cs="Calibri"/>
          <w:sz w:val="22"/>
          <w:szCs w:val="22"/>
          <w:lang w:val="et-EE"/>
        </w:rPr>
        <w:t>eaduse alusel õigus taotleda ülikooli</w:t>
      </w:r>
      <w:r w:rsidRPr="008F319E">
        <w:rPr>
          <w:rFonts w:ascii="Calibri" w:hAnsi="Calibri" w:cs="Calibri"/>
          <w:sz w:val="22"/>
          <w:szCs w:val="22"/>
          <w:lang w:val="et-EE"/>
        </w:rPr>
        <w:t xml:space="preserve"> videovalvesüsteemi salvestisele juurdepääsu, esitavad andmetele juurdepääsuks kirjalikku taasesitamist võimaldavas vormis taotluse.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Taotluses märgitakse, millise toiminguga seoses salvestisele juurdepääsu soovitakse ning andmetele seaduses sätestatud juurdepääsu alus ja eesmärk.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rPr>
          <w:rFonts w:ascii="Calibri" w:hAnsi="Calibri" w:cs="Calibri"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Juhul, kui salvestist kasutatakse turvaintsidendi lahendamisel, kriminaal- või väärteomenetluses, võidakse konkreetset salvestist säilitada vastava menetluse lõpuni.</w:t>
      </w:r>
    </w:p>
    <w:p w:rsidR="002F5214" w:rsidRPr="008F319E" w:rsidRDefault="002F5214" w:rsidP="00DA22E6">
      <w:pPr>
        <w:pStyle w:val="ListParagraph"/>
        <w:numPr>
          <w:ilvl w:val="1"/>
          <w:numId w:val="8"/>
        </w:numPr>
        <w:rPr>
          <w:rFonts w:ascii="Calibri" w:hAnsi="Calibri" w:cs="Calibri"/>
          <w:b/>
          <w:sz w:val="22"/>
          <w:szCs w:val="22"/>
          <w:lang w:val="et-EE"/>
        </w:rPr>
      </w:pPr>
      <w:r w:rsidRPr="008F319E">
        <w:rPr>
          <w:rFonts w:ascii="Calibri" w:hAnsi="Calibri" w:cs="Calibri"/>
          <w:sz w:val="22"/>
          <w:szCs w:val="22"/>
          <w:lang w:val="et-EE"/>
        </w:rPr>
        <w:t>Videovalvesüsteemi salvestist säilitatakse 2 kuni 6 nädalat salvestamise päevast arvates. Erandina säilitatakse turvaintsidente sisaldavaid videovalvesüsteemi salvestisi lähtudes konkreetsete juhtumite menetlemise tähtaegadest.</w:t>
      </w:r>
    </w:p>
    <w:p w:rsidR="00B130E3" w:rsidRPr="008F319E" w:rsidRDefault="00B130E3" w:rsidP="00EF3512">
      <w:pPr>
        <w:rPr>
          <w:rFonts w:cs="Calibri"/>
        </w:rPr>
      </w:pPr>
    </w:p>
    <w:p w:rsidR="00B130E3" w:rsidRDefault="00B130E3" w:rsidP="00EF3512"/>
    <w:sectPr w:rsidR="00B130E3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3CD" w:rsidRDefault="00EE43CD">
      <w:r>
        <w:separator/>
      </w:r>
    </w:p>
  </w:endnote>
  <w:endnote w:type="continuationSeparator" w:id="0">
    <w:p w:rsidR="00EE43CD" w:rsidRDefault="00EE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D8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3CD" w:rsidRDefault="00EE43CD">
      <w:r>
        <w:separator/>
      </w:r>
    </w:p>
  </w:footnote>
  <w:footnote w:type="continuationSeparator" w:id="0">
    <w:p w:rsidR="00EE43CD" w:rsidRDefault="00EE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D87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4E2"/>
    <w:multiLevelType w:val="multilevel"/>
    <w:tmpl w:val="213661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6C7B69E4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08"/>
    <w:rsid w:val="00003770"/>
    <w:rsid w:val="000103F7"/>
    <w:rsid w:val="00076C16"/>
    <w:rsid w:val="000A0A25"/>
    <w:rsid w:val="000A52ED"/>
    <w:rsid w:val="000B186B"/>
    <w:rsid w:val="0014041B"/>
    <w:rsid w:val="001543D0"/>
    <w:rsid w:val="00164D61"/>
    <w:rsid w:val="001D05E5"/>
    <w:rsid w:val="001E7223"/>
    <w:rsid w:val="00203A79"/>
    <w:rsid w:val="00207301"/>
    <w:rsid w:val="00207D15"/>
    <w:rsid w:val="00220838"/>
    <w:rsid w:val="002216AF"/>
    <w:rsid w:val="00276CFC"/>
    <w:rsid w:val="0029000F"/>
    <w:rsid w:val="0029184D"/>
    <w:rsid w:val="002B4BCA"/>
    <w:rsid w:val="002C4618"/>
    <w:rsid w:val="002F5214"/>
    <w:rsid w:val="002F6AF4"/>
    <w:rsid w:val="00316C57"/>
    <w:rsid w:val="00371A8A"/>
    <w:rsid w:val="0037527E"/>
    <w:rsid w:val="003A498C"/>
    <w:rsid w:val="003D1508"/>
    <w:rsid w:val="003E2946"/>
    <w:rsid w:val="00450B27"/>
    <w:rsid w:val="004803F4"/>
    <w:rsid w:val="004C1221"/>
    <w:rsid w:val="00520B85"/>
    <w:rsid w:val="00522694"/>
    <w:rsid w:val="00524CD9"/>
    <w:rsid w:val="005259B5"/>
    <w:rsid w:val="005D0605"/>
    <w:rsid w:val="005F7BD6"/>
    <w:rsid w:val="006125D6"/>
    <w:rsid w:val="00633EBE"/>
    <w:rsid w:val="006725D6"/>
    <w:rsid w:val="006823BD"/>
    <w:rsid w:val="006905AC"/>
    <w:rsid w:val="006A39A6"/>
    <w:rsid w:val="006B76F8"/>
    <w:rsid w:val="006C54D8"/>
    <w:rsid w:val="006C7894"/>
    <w:rsid w:val="006D01D7"/>
    <w:rsid w:val="006E0444"/>
    <w:rsid w:val="00704E6A"/>
    <w:rsid w:val="00781A97"/>
    <w:rsid w:val="007C3E0F"/>
    <w:rsid w:val="007F6352"/>
    <w:rsid w:val="008062FB"/>
    <w:rsid w:val="00816F21"/>
    <w:rsid w:val="00843834"/>
    <w:rsid w:val="008B1943"/>
    <w:rsid w:val="008C2E19"/>
    <w:rsid w:val="008E002F"/>
    <w:rsid w:val="008F319E"/>
    <w:rsid w:val="009001F4"/>
    <w:rsid w:val="009B17A2"/>
    <w:rsid w:val="009C577C"/>
    <w:rsid w:val="009C72C6"/>
    <w:rsid w:val="00A717DD"/>
    <w:rsid w:val="00A738C7"/>
    <w:rsid w:val="00A831C3"/>
    <w:rsid w:val="00AA5AB7"/>
    <w:rsid w:val="00AB48A9"/>
    <w:rsid w:val="00B11E2C"/>
    <w:rsid w:val="00B130E3"/>
    <w:rsid w:val="00B13B1F"/>
    <w:rsid w:val="00B25946"/>
    <w:rsid w:val="00B41ACF"/>
    <w:rsid w:val="00B67A8F"/>
    <w:rsid w:val="00BE21E2"/>
    <w:rsid w:val="00C11566"/>
    <w:rsid w:val="00C436F1"/>
    <w:rsid w:val="00C878CD"/>
    <w:rsid w:val="00CC01EA"/>
    <w:rsid w:val="00CE69D1"/>
    <w:rsid w:val="00D24864"/>
    <w:rsid w:val="00D410EA"/>
    <w:rsid w:val="00D778E2"/>
    <w:rsid w:val="00D836F5"/>
    <w:rsid w:val="00D87FCA"/>
    <w:rsid w:val="00D91251"/>
    <w:rsid w:val="00D972D6"/>
    <w:rsid w:val="00DA22E6"/>
    <w:rsid w:val="00DE1C36"/>
    <w:rsid w:val="00DF451B"/>
    <w:rsid w:val="00E11CC8"/>
    <w:rsid w:val="00E31835"/>
    <w:rsid w:val="00E36265"/>
    <w:rsid w:val="00EC7BDD"/>
    <w:rsid w:val="00EE1D8B"/>
    <w:rsid w:val="00EE43CD"/>
    <w:rsid w:val="00EF3512"/>
    <w:rsid w:val="00F16E2F"/>
    <w:rsid w:val="00F27045"/>
    <w:rsid w:val="00F33AFC"/>
    <w:rsid w:val="00F61DAC"/>
    <w:rsid w:val="00F84234"/>
    <w:rsid w:val="00F84CA9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93F5D79"/>
  <w15:docId w15:val="{0AC59A55-D423-457A-8E18-941E8693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EF3512"/>
    <w:pPr>
      <w:numPr>
        <w:numId w:val="7"/>
      </w:numPr>
    </w:pPr>
  </w:style>
  <w:style w:type="paragraph" w:customStyle="1" w:styleId="LisaBodyt2">
    <w:name w:val="LisaBodyt2"/>
    <w:basedOn w:val="LisaBodyt"/>
    <w:qFormat/>
    <w:rsid w:val="00B130E3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F5214"/>
    <w:pPr>
      <w:ind w:left="720"/>
      <w:contextualSpacing/>
    </w:pPr>
    <w:rPr>
      <w:rFonts w:ascii="Times New Roman" w:hAnsi="Times New Roman"/>
      <w:sz w:val="20"/>
      <w:lang w:val="en-GB"/>
    </w:rPr>
  </w:style>
  <w:style w:type="paragraph" w:styleId="CommentText">
    <w:name w:val="annotation text"/>
    <w:basedOn w:val="Normal"/>
    <w:link w:val="CommentTextChar"/>
    <w:rsid w:val="002F5214"/>
    <w:rPr>
      <w:rFonts w:ascii="Times New Roman" w:hAnsi="Times New Roman"/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F521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A96D-5EA1-4AB5-ABED-0CB05D5B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Henri Schasmin</dc:creator>
  <cp:lastModifiedBy>Kairi Schütz</cp:lastModifiedBy>
  <cp:revision>4</cp:revision>
  <cp:lastPrinted>2003-02-05T10:15:00Z</cp:lastPrinted>
  <dcterms:created xsi:type="dcterms:W3CDTF">2018-10-23T12:42:00Z</dcterms:created>
  <dcterms:modified xsi:type="dcterms:W3CDTF">2021-12-02T12:27:00Z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
    </vt:lpwstr>
  </property>
  <property fmtid="{D5CDD505-2E9C-101B-9397-08002B2CF9AE}" pid="3" name="DLX:RegistrationNo">
    <vt:lpwstr>
    </vt:lpwstr>
  </property>
</Properties>
</file>