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9F" w:rsidRPr="005F56B8" w:rsidRDefault="00314C9F" w:rsidP="001C4E05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F56B8">
        <w:rPr>
          <w:rFonts w:asciiTheme="minorHAnsi" w:hAnsiTheme="minorHAnsi" w:cstheme="minorHAnsi"/>
          <w:sz w:val="22"/>
          <w:szCs w:val="22"/>
        </w:rPr>
        <w:t>TERVIKTEKST</w:t>
      </w:r>
    </w:p>
    <w:p w:rsidR="00C07FFC" w:rsidRPr="005F56B8" w:rsidRDefault="00314C9F" w:rsidP="001C4E05">
      <w:pPr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 xml:space="preserve">Kinnitatud </w:t>
      </w:r>
      <w:r w:rsidR="00DA5EA0" w:rsidRPr="005F56B8">
        <w:rPr>
          <w:rFonts w:asciiTheme="minorHAnsi" w:hAnsiTheme="minorHAnsi" w:cstheme="minorHAnsi"/>
          <w:sz w:val="22"/>
          <w:szCs w:val="22"/>
        </w:rPr>
        <w:t>Tallinna Tehnikaülikooli</w:t>
      </w:r>
      <w:r w:rsidRPr="005F56B8">
        <w:rPr>
          <w:rFonts w:asciiTheme="minorHAnsi" w:hAnsiTheme="minorHAnsi" w:cstheme="minorHAnsi"/>
          <w:sz w:val="22"/>
          <w:szCs w:val="22"/>
        </w:rPr>
        <w:t xml:space="preserve"> nõukogu 19.05.2015 otsusega nr 77 </w:t>
      </w:r>
    </w:p>
    <w:p w:rsidR="00DA5EA0" w:rsidRPr="005F56B8" w:rsidRDefault="00DA5EA0" w:rsidP="001C4E05">
      <w:pPr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>Muudetud Tallinna Tehnikaülikooli senati 22.10.2019 otsusega nr 25 (jõustunud 01.11.2019)</w:t>
      </w:r>
    </w:p>
    <w:p w:rsidR="00C634D7" w:rsidRPr="005F56B8" w:rsidRDefault="00C634D7" w:rsidP="008F3C15">
      <w:pPr>
        <w:pStyle w:val="Pealk1"/>
        <w:spacing w:before="360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 xml:space="preserve">Sponsorluse statuut </w:t>
      </w:r>
    </w:p>
    <w:p w:rsidR="00D34ECD" w:rsidRPr="005F56B8" w:rsidRDefault="00D34ECD" w:rsidP="008F3C15">
      <w:pPr>
        <w:pStyle w:val="Lisatekst"/>
        <w:spacing w:before="240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 xml:space="preserve">Statuudiga reguleeritakse Tallinna Tehnikaülikoolile (edaspidi </w:t>
      </w:r>
      <w:r w:rsidR="00DA5EA0" w:rsidRPr="005F56B8">
        <w:rPr>
          <w:rFonts w:asciiTheme="minorHAnsi" w:hAnsiTheme="minorHAnsi" w:cstheme="minorHAnsi"/>
          <w:i/>
          <w:sz w:val="22"/>
          <w:szCs w:val="22"/>
        </w:rPr>
        <w:t>ülikool</w:t>
      </w:r>
      <w:r w:rsidRPr="005F56B8">
        <w:rPr>
          <w:rFonts w:asciiTheme="minorHAnsi" w:hAnsiTheme="minorHAnsi" w:cstheme="minorHAnsi"/>
          <w:sz w:val="22"/>
          <w:szCs w:val="22"/>
        </w:rPr>
        <w:t xml:space="preserve">) annetuste tegemist ja toetajate tunnustamist. </w:t>
      </w:r>
    </w:p>
    <w:p w:rsidR="00D34ECD" w:rsidRPr="005F56B8" w:rsidRDefault="00D34ECD" w:rsidP="00D34ECD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 xml:space="preserve">Sponsorluse valdkonna korraldamise eest vastutab turundus- ja kommunikatsiooniosakond. </w:t>
      </w:r>
    </w:p>
    <w:p w:rsidR="00D34ECD" w:rsidRPr="005F56B8" w:rsidRDefault="00D34ECD" w:rsidP="00D34ECD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 xml:space="preserve">Toetaja võib olla nii juriidiline kui füüsiline isik (edaspidi </w:t>
      </w:r>
      <w:r w:rsidRPr="005F56B8">
        <w:rPr>
          <w:rFonts w:asciiTheme="minorHAnsi" w:hAnsiTheme="minorHAnsi" w:cstheme="minorHAnsi"/>
          <w:i/>
          <w:sz w:val="22"/>
          <w:szCs w:val="22"/>
        </w:rPr>
        <w:t>isik</w:t>
      </w:r>
      <w:r w:rsidRPr="005F56B8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B1998" w:rsidRPr="005F56B8" w:rsidRDefault="00EB1998" w:rsidP="00EB1998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>Kõik toetajad märgitakse ära</w:t>
      </w:r>
      <w:r w:rsidR="00DA5EA0" w:rsidRPr="005F56B8">
        <w:rPr>
          <w:rFonts w:asciiTheme="minorHAnsi" w:hAnsiTheme="minorHAnsi" w:cstheme="minorHAnsi"/>
          <w:sz w:val="22"/>
          <w:szCs w:val="22"/>
        </w:rPr>
        <w:t xml:space="preserve"> ülikooli</w:t>
      </w:r>
      <w:r w:rsidRPr="005F56B8">
        <w:rPr>
          <w:rFonts w:asciiTheme="minorHAnsi" w:hAnsiTheme="minorHAnsi" w:cstheme="minorHAnsi"/>
          <w:sz w:val="22"/>
          <w:szCs w:val="22"/>
        </w:rPr>
        <w:t xml:space="preserve"> veebilehel ja ajalehes Mente et Manu. Teistes infomaterjalides märgitakse toetajad ära lähtudes toetuse eesmärgist ja arvestades toetaja soove. </w:t>
      </w:r>
      <w:r w:rsidR="00DA5EA0" w:rsidRPr="005F56B8">
        <w:rPr>
          <w:rFonts w:asciiTheme="minorHAnsi" w:hAnsiTheme="minorHAnsi" w:cstheme="minorHAnsi"/>
          <w:sz w:val="22"/>
          <w:szCs w:val="22"/>
        </w:rPr>
        <w:t>Ülikooli</w:t>
      </w:r>
      <w:r w:rsidRPr="005F56B8">
        <w:rPr>
          <w:rFonts w:asciiTheme="minorHAnsi" w:hAnsiTheme="minorHAnsi" w:cstheme="minorHAnsi"/>
          <w:sz w:val="22"/>
          <w:szCs w:val="22"/>
        </w:rPr>
        <w:t xml:space="preserve"> pakutavad muud teenused ja koostöövormid lepitakse iga toetajaga eraldi kokku.</w:t>
      </w:r>
    </w:p>
    <w:p w:rsidR="00D34ECD" w:rsidRPr="005F56B8" w:rsidRDefault="00D34ECD" w:rsidP="00D34ECD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 xml:space="preserve">Isikule, kes on annetanud </w:t>
      </w:r>
      <w:r w:rsidR="00DA5EA0" w:rsidRPr="005F56B8">
        <w:rPr>
          <w:rFonts w:asciiTheme="minorHAnsi" w:hAnsiTheme="minorHAnsi" w:cstheme="minorHAnsi"/>
          <w:sz w:val="22"/>
          <w:szCs w:val="22"/>
        </w:rPr>
        <w:t>ülikoolile</w:t>
      </w:r>
      <w:r w:rsidRPr="005F56B8">
        <w:rPr>
          <w:rFonts w:asciiTheme="minorHAnsi" w:hAnsiTheme="minorHAnsi" w:cstheme="minorHAnsi"/>
          <w:sz w:val="22"/>
          <w:szCs w:val="22"/>
        </w:rPr>
        <w:t xml:space="preserve"> või </w:t>
      </w:r>
      <w:r w:rsidR="00DA5EA0" w:rsidRPr="005F56B8">
        <w:rPr>
          <w:rFonts w:asciiTheme="minorHAnsi" w:hAnsiTheme="minorHAnsi" w:cstheme="minorHAnsi"/>
          <w:sz w:val="22"/>
          <w:szCs w:val="22"/>
        </w:rPr>
        <w:t>ülikooliga</w:t>
      </w:r>
      <w:r w:rsidRPr="005F56B8">
        <w:rPr>
          <w:rFonts w:asciiTheme="minorHAnsi" w:hAnsiTheme="minorHAnsi" w:cstheme="minorHAnsi"/>
          <w:sz w:val="22"/>
          <w:szCs w:val="22"/>
        </w:rPr>
        <w:t xml:space="preserve"> otseselt seotud juriidilisele isikule raha või muud vara, </w:t>
      </w:r>
      <w:r w:rsidR="00BC0B15" w:rsidRPr="005F56B8">
        <w:rPr>
          <w:rFonts w:asciiTheme="minorHAnsi" w:hAnsiTheme="minorHAnsi" w:cstheme="minorHAnsi"/>
          <w:sz w:val="22"/>
          <w:szCs w:val="22"/>
        </w:rPr>
        <w:t xml:space="preserve">antakse olenevalt annetuse väärtusest </w:t>
      </w:r>
      <w:r w:rsidRPr="005F56B8">
        <w:rPr>
          <w:rFonts w:asciiTheme="minorHAnsi" w:hAnsiTheme="minorHAnsi" w:cstheme="minorHAnsi"/>
          <w:sz w:val="22"/>
          <w:szCs w:val="22"/>
        </w:rPr>
        <w:t>nimetus suurtoetaja, kuldsponsor, sponsor või tehnoloogiapartner järgmiselt:</w:t>
      </w:r>
    </w:p>
    <w:p w:rsidR="00D34ECD" w:rsidRPr="005F56B8" w:rsidRDefault="00D34ECD" w:rsidP="00D34ECD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b/>
          <w:sz w:val="22"/>
          <w:szCs w:val="22"/>
        </w:rPr>
        <w:t>suurtoetaja −</w:t>
      </w:r>
      <w:r w:rsidRPr="005F56B8">
        <w:rPr>
          <w:rFonts w:asciiTheme="minorHAnsi" w:hAnsiTheme="minorHAnsi" w:cstheme="minorHAnsi"/>
          <w:sz w:val="22"/>
          <w:szCs w:val="22"/>
        </w:rPr>
        <w:t xml:space="preserve"> nimetus antakse kuni viieks aastaks isikule, kes annetab suurtoetajaks oleku aja jooksul vähemalt 50 000 eurot; </w:t>
      </w:r>
    </w:p>
    <w:p w:rsidR="00D34ECD" w:rsidRPr="005F56B8" w:rsidRDefault="00D34ECD" w:rsidP="00D34ECD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b/>
          <w:sz w:val="22"/>
          <w:szCs w:val="22"/>
        </w:rPr>
        <w:t xml:space="preserve">kuldsponsor − </w:t>
      </w:r>
      <w:r w:rsidRPr="005F56B8">
        <w:rPr>
          <w:rFonts w:asciiTheme="minorHAnsi" w:hAnsiTheme="minorHAnsi" w:cstheme="minorHAnsi"/>
          <w:sz w:val="22"/>
          <w:szCs w:val="22"/>
        </w:rPr>
        <w:t>nimetus antakse isikule, kes on annetanud vähemalt 15</w:t>
      </w:r>
      <w:r w:rsidR="001C4E05" w:rsidRPr="005F56B8">
        <w:rPr>
          <w:rFonts w:asciiTheme="minorHAnsi" w:hAnsiTheme="minorHAnsi" w:cstheme="minorHAnsi"/>
          <w:sz w:val="22"/>
          <w:szCs w:val="22"/>
        </w:rPr>
        <w:t> </w:t>
      </w:r>
      <w:r w:rsidRPr="005F56B8">
        <w:rPr>
          <w:rFonts w:asciiTheme="minorHAnsi" w:hAnsiTheme="minorHAnsi" w:cstheme="minorHAnsi"/>
          <w:sz w:val="22"/>
          <w:szCs w:val="22"/>
        </w:rPr>
        <w:t>000 eurot;</w:t>
      </w:r>
    </w:p>
    <w:p w:rsidR="00D34ECD" w:rsidRPr="005F56B8" w:rsidRDefault="00D34ECD" w:rsidP="00D34ECD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b/>
          <w:sz w:val="22"/>
          <w:szCs w:val="22"/>
        </w:rPr>
        <w:t>sponsor</w:t>
      </w:r>
      <w:r w:rsidRPr="005F56B8">
        <w:rPr>
          <w:rFonts w:asciiTheme="minorHAnsi" w:hAnsiTheme="minorHAnsi" w:cstheme="minorHAnsi"/>
          <w:sz w:val="22"/>
          <w:szCs w:val="22"/>
        </w:rPr>
        <w:t xml:space="preserve"> − nimetus antakse isikule, kes on annetanud vähemalt 5</w:t>
      </w:r>
      <w:r w:rsidR="001C4E05" w:rsidRPr="005F56B8">
        <w:rPr>
          <w:rFonts w:asciiTheme="minorHAnsi" w:hAnsiTheme="minorHAnsi" w:cstheme="minorHAnsi"/>
          <w:sz w:val="22"/>
          <w:szCs w:val="22"/>
        </w:rPr>
        <w:t> </w:t>
      </w:r>
      <w:r w:rsidRPr="005F56B8">
        <w:rPr>
          <w:rFonts w:asciiTheme="minorHAnsi" w:hAnsiTheme="minorHAnsi" w:cstheme="minorHAnsi"/>
          <w:sz w:val="22"/>
          <w:szCs w:val="22"/>
        </w:rPr>
        <w:t>000 eurot;</w:t>
      </w:r>
    </w:p>
    <w:p w:rsidR="00D34ECD" w:rsidRPr="005F56B8" w:rsidRDefault="00D34ECD" w:rsidP="00D34ECD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b/>
          <w:sz w:val="22"/>
          <w:szCs w:val="22"/>
        </w:rPr>
        <w:t>tehnoloogiapartner</w:t>
      </w:r>
      <w:r w:rsidRPr="005F56B8">
        <w:rPr>
          <w:rFonts w:asciiTheme="minorHAnsi" w:hAnsiTheme="minorHAnsi" w:cstheme="minorHAnsi"/>
          <w:sz w:val="22"/>
          <w:szCs w:val="22"/>
        </w:rPr>
        <w:t xml:space="preserve"> – nimetuse võib anda isikule, kes on annetanud vara.</w:t>
      </w:r>
    </w:p>
    <w:p w:rsidR="00D34ECD" w:rsidRPr="005F56B8" w:rsidRDefault="00D34ECD" w:rsidP="00D34ECD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>Suurtoetaja, kuldsponsori, sponsori ja tehnoloogiapartneri nimetuse annab rektor struktuuriüksuse juhi ettepanekul, mis on kooskõlastatud turundusdirektoriga.</w:t>
      </w:r>
    </w:p>
    <w:p w:rsidR="00D34ECD" w:rsidRPr="005F56B8" w:rsidRDefault="00D34ECD" w:rsidP="00D34ECD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>Annetusena ei käsitleta teenuse, sh reklaami ostmist.</w:t>
      </w:r>
    </w:p>
    <w:p w:rsidR="00D34ECD" w:rsidRPr="005F56B8" w:rsidRDefault="00D34ECD" w:rsidP="00D34ECD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 xml:space="preserve">Suurtoetajale ja kuldsponsorile annab rektor </w:t>
      </w:r>
      <w:r w:rsidR="00DA5EA0" w:rsidRPr="005F56B8">
        <w:rPr>
          <w:rFonts w:asciiTheme="minorHAnsi" w:hAnsiTheme="minorHAnsi" w:cstheme="minorHAnsi"/>
          <w:sz w:val="22"/>
          <w:szCs w:val="22"/>
        </w:rPr>
        <w:t>ülikooli</w:t>
      </w:r>
      <w:r w:rsidRPr="005F56B8">
        <w:rPr>
          <w:rFonts w:asciiTheme="minorHAnsi" w:hAnsiTheme="minorHAnsi" w:cstheme="minorHAnsi"/>
          <w:sz w:val="22"/>
          <w:szCs w:val="22"/>
        </w:rPr>
        <w:t xml:space="preserve"> akadeemilisel üritusel või </w:t>
      </w:r>
      <w:r w:rsidR="00DA5EA0" w:rsidRPr="005F56B8">
        <w:rPr>
          <w:rFonts w:asciiTheme="minorHAnsi" w:hAnsiTheme="minorHAnsi" w:cstheme="minorHAnsi"/>
          <w:sz w:val="22"/>
          <w:szCs w:val="22"/>
        </w:rPr>
        <w:t>ülikooli senati</w:t>
      </w:r>
      <w:r w:rsidRPr="005F56B8">
        <w:rPr>
          <w:rFonts w:asciiTheme="minorHAnsi" w:hAnsiTheme="minorHAnsi" w:cstheme="minorHAnsi"/>
          <w:sz w:val="22"/>
          <w:szCs w:val="22"/>
        </w:rPr>
        <w:t xml:space="preserve"> istungil nimelise plaadi. Plaat valmistatakse vastavalt </w:t>
      </w:r>
      <w:r w:rsidR="00DA5EA0" w:rsidRPr="005F56B8">
        <w:rPr>
          <w:rFonts w:asciiTheme="minorHAnsi" w:hAnsiTheme="minorHAnsi" w:cstheme="minorHAnsi"/>
          <w:sz w:val="22"/>
          <w:szCs w:val="22"/>
        </w:rPr>
        <w:t>ülikooli</w:t>
      </w:r>
      <w:r w:rsidRPr="005F56B8">
        <w:rPr>
          <w:rFonts w:asciiTheme="minorHAnsi" w:hAnsiTheme="minorHAnsi" w:cstheme="minorHAnsi"/>
          <w:sz w:val="22"/>
          <w:szCs w:val="22"/>
        </w:rPr>
        <w:t xml:space="preserve"> brändi ja tunnusgraafika kogumikule kahes eksemplaris, millest teine eksponeeritakse </w:t>
      </w:r>
      <w:r w:rsidR="00DA5EA0" w:rsidRPr="005F56B8">
        <w:rPr>
          <w:rFonts w:asciiTheme="minorHAnsi" w:hAnsiTheme="minorHAnsi" w:cstheme="minorHAnsi"/>
          <w:sz w:val="22"/>
          <w:szCs w:val="22"/>
        </w:rPr>
        <w:t>ülikoolis</w:t>
      </w:r>
      <w:r w:rsidRPr="005F56B8">
        <w:rPr>
          <w:rFonts w:asciiTheme="minorHAnsi" w:hAnsiTheme="minorHAnsi" w:cstheme="minorHAnsi"/>
          <w:sz w:val="22"/>
          <w:szCs w:val="22"/>
        </w:rPr>
        <w:t>.</w:t>
      </w:r>
    </w:p>
    <w:p w:rsidR="00D34ECD" w:rsidRPr="005F56B8" w:rsidRDefault="00D34ECD" w:rsidP="00D34ECD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>Sponsorile ja tehnoloogiapartnerile annab rektor tänukirja, samuti valmistatakse sponsori ja tehnoloogiapartneri nimeline tahvel vastavalt</w:t>
      </w:r>
      <w:r w:rsidR="00DA5EA0" w:rsidRPr="005F56B8">
        <w:rPr>
          <w:rFonts w:asciiTheme="minorHAnsi" w:hAnsiTheme="minorHAnsi" w:cstheme="minorHAnsi"/>
          <w:sz w:val="22"/>
          <w:szCs w:val="22"/>
        </w:rPr>
        <w:t xml:space="preserve"> ülikooli</w:t>
      </w:r>
      <w:r w:rsidRPr="005F56B8">
        <w:rPr>
          <w:rFonts w:asciiTheme="minorHAnsi" w:hAnsiTheme="minorHAnsi" w:cstheme="minorHAnsi"/>
          <w:sz w:val="22"/>
          <w:szCs w:val="22"/>
        </w:rPr>
        <w:t xml:space="preserve"> brändi ja tunnusgraafika kogumikule ning eksponeeritakse </w:t>
      </w:r>
      <w:r w:rsidR="00DA5EA0" w:rsidRPr="005F56B8">
        <w:rPr>
          <w:rFonts w:asciiTheme="minorHAnsi" w:hAnsiTheme="minorHAnsi" w:cstheme="minorHAnsi"/>
          <w:sz w:val="22"/>
          <w:szCs w:val="22"/>
        </w:rPr>
        <w:t>ülikoolis</w:t>
      </w:r>
      <w:r w:rsidRPr="005F56B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07FFC" w:rsidRPr="005F56B8" w:rsidRDefault="00DA5EA0" w:rsidP="00D34ECD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5F56B8">
        <w:rPr>
          <w:rFonts w:asciiTheme="minorHAnsi" w:hAnsiTheme="minorHAnsi" w:cstheme="minorHAnsi"/>
          <w:sz w:val="22"/>
          <w:szCs w:val="22"/>
        </w:rPr>
        <w:t>Ülikool</w:t>
      </w:r>
      <w:r w:rsidR="00D34ECD" w:rsidRPr="005F56B8">
        <w:rPr>
          <w:rFonts w:asciiTheme="minorHAnsi" w:hAnsiTheme="minorHAnsi" w:cstheme="minorHAnsi"/>
          <w:sz w:val="22"/>
          <w:szCs w:val="22"/>
        </w:rPr>
        <w:t xml:space="preserve"> korraldab kord aastas tänuürituse kõigile </w:t>
      </w:r>
      <w:r w:rsidRPr="005F56B8">
        <w:rPr>
          <w:rFonts w:asciiTheme="minorHAnsi" w:hAnsiTheme="minorHAnsi" w:cstheme="minorHAnsi"/>
          <w:sz w:val="22"/>
          <w:szCs w:val="22"/>
        </w:rPr>
        <w:t>ülikooli</w:t>
      </w:r>
      <w:r w:rsidR="00D34ECD" w:rsidRPr="005F56B8">
        <w:rPr>
          <w:rFonts w:asciiTheme="minorHAnsi" w:hAnsiTheme="minorHAnsi" w:cstheme="minorHAnsi"/>
          <w:sz w:val="22"/>
          <w:szCs w:val="22"/>
        </w:rPr>
        <w:t xml:space="preserve"> toetanud isikutele.</w:t>
      </w:r>
    </w:p>
    <w:bookmarkEnd w:id="0"/>
    <w:p w:rsidR="001C4E05" w:rsidRPr="005F56B8" w:rsidRDefault="001C4E05" w:rsidP="001C4E05">
      <w:pPr>
        <w:rPr>
          <w:rFonts w:asciiTheme="minorHAnsi" w:hAnsiTheme="minorHAnsi" w:cstheme="minorHAnsi"/>
          <w:sz w:val="22"/>
          <w:szCs w:val="22"/>
        </w:rPr>
      </w:pPr>
    </w:p>
    <w:sectPr w:rsidR="001C4E05" w:rsidRPr="005F56B8" w:rsidSect="00651AAB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D7" w:rsidRDefault="00C634D7">
      <w:r>
        <w:separator/>
      </w:r>
    </w:p>
  </w:endnote>
  <w:endnote w:type="continuationSeparator" w:id="0">
    <w:p w:rsidR="00C634D7" w:rsidRDefault="00C6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0" w:rsidRDefault="00377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660" w:rsidRDefault="005F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D7" w:rsidRDefault="00C634D7">
      <w:r>
        <w:separator/>
      </w:r>
    </w:p>
  </w:footnote>
  <w:footnote w:type="continuationSeparator" w:id="0">
    <w:p w:rsidR="00C634D7" w:rsidRDefault="00C6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0" w:rsidRDefault="003770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660" w:rsidRDefault="005F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0" w:rsidRDefault="00377079" w:rsidP="000A586B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AAB">
      <w:rPr>
        <w:rStyle w:val="PageNumber"/>
        <w:noProof/>
      </w:rPr>
      <w:t>2</w:t>
    </w:r>
    <w:r>
      <w:rPr>
        <w:rStyle w:val="PageNumber"/>
      </w:rPr>
      <w:fldChar w:fldCharType="end"/>
    </w:r>
  </w:p>
  <w:p w:rsidR="00E24660" w:rsidRDefault="005F56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286D79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A0B1B9C"/>
    <w:multiLevelType w:val="hybridMultilevel"/>
    <w:tmpl w:val="529A35E4"/>
    <w:lvl w:ilvl="0" w:tplc="A650F136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D7"/>
    <w:rsid w:val="00001DF1"/>
    <w:rsid w:val="000A52ED"/>
    <w:rsid w:val="0014041B"/>
    <w:rsid w:val="001758A1"/>
    <w:rsid w:val="001C4E05"/>
    <w:rsid w:val="001D05E5"/>
    <w:rsid w:val="001E7223"/>
    <w:rsid w:val="00203A79"/>
    <w:rsid w:val="00207D15"/>
    <w:rsid w:val="002216AF"/>
    <w:rsid w:val="00276CFC"/>
    <w:rsid w:val="0029000F"/>
    <w:rsid w:val="002C4618"/>
    <w:rsid w:val="002C5243"/>
    <w:rsid w:val="00314C9F"/>
    <w:rsid w:val="00316C57"/>
    <w:rsid w:val="00364F1E"/>
    <w:rsid w:val="0037527E"/>
    <w:rsid w:val="00377079"/>
    <w:rsid w:val="003D64D6"/>
    <w:rsid w:val="003E2946"/>
    <w:rsid w:val="003E6EE1"/>
    <w:rsid w:val="0040246F"/>
    <w:rsid w:val="00450B27"/>
    <w:rsid w:val="004803F4"/>
    <w:rsid w:val="004B668D"/>
    <w:rsid w:val="004C1221"/>
    <w:rsid w:val="00520B85"/>
    <w:rsid w:val="00524CD9"/>
    <w:rsid w:val="00546D21"/>
    <w:rsid w:val="005905C0"/>
    <w:rsid w:val="005F56B8"/>
    <w:rsid w:val="005F7BD6"/>
    <w:rsid w:val="006125D6"/>
    <w:rsid w:val="00651AAB"/>
    <w:rsid w:val="006556AE"/>
    <w:rsid w:val="006905AC"/>
    <w:rsid w:val="006C54D8"/>
    <w:rsid w:val="006D01D7"/>
    <w:rsid w:val="007523BF"/>
    <w:rsid w:val="00762308"/>
    <w:rsid w:val="00781A97"/>
    <w:rsid w:val="008062FB"/>
    <w:rsid w:val="00816F21"/>
    <w:rsid w:val="008307B4"/>
    <w:rsid w:val="00843834"/>
    <w:rsid w:val="008B1943"/>
    <w:rsid w:val="008C2E19"/>
    <w:rsid w:val="008F3C15"/>
    <w:rsid w:val="009001F4"/>
    <w:rsid w:val="00925AB2"/>
    <w:rsid w:val="00976ACE"/>
    <w:rsid w:val="009B17A2"/>
    <w:rsid w:val="009C577C"/>
    <w:rsid w:val="00A5031E"/>
    <w:rsid w:val="00A717DD"/>
    <w:rsid w:val="00A831C3"/>
    <w:rsid w:val="00AB48A9"/>
    <w:rsid w:val="00B11E2C"/>
    <w:rsid w:val="00B25946"/>
    <w:rsid w:val="00B41ACF"/>
    <w:rsid w:val="00B64193"/>
    <w:rsid w:val="00B67A8F"/>
    <w:rsid w:val="00BC0B15"/>
    <w:rsid w:val="00BC0C50"/>
    <w:rsid w:val="00C07FFC"/>
    <w:rsid w:val="00C11566"/>
    <w:rsid w:val="00C436F1"/>
    <w:rsid w:val="00C55821"/>
    <w:rsid w:val="00C634D7"/>
    <w:rsid w:val="00CE69D1"/>
    <w:rsid w:val="00D34ECD"/>
    <w:rsid w:val="00D47635"/>
    <w:rsid w:val="00D778E2"/>
    <w:rsid w:val="00D91251"/>
    <w:rsid w:val="00D972D6"/>
    <w:rsid w:val="00DA5EA0"/>
    <w:rsid w:val="00DE0CD6"/>
    <w:rsid w:val="00DE1C36"/>
    <w:rsid w:val="00E11CC8"/>
    <w:rsid w:val="00E17868"/>
    <w:rsid w:val="00E97931"/>
    <w:rsid w:val="00EB1998"/>
    <w:rsid w:val="00EC7BDD"/>
    <w:rsid w:val="00EE70C3"/>
    <w:rsid w:val="00EF5844"/>
    <w:rsid w:val="00F16E2F"/>
    <w:rsid w:val="00F17D51"/>
    <w:rsid w:val="00F27045"/>
    <w:rsid w:val="00F61DAC"/>
    <w:rsid w:val="00F84234"/>
    <w:rsid w:val="00F84CA9"/>
    <w:rsid w:val="00F92BEE"/>
    <w:rsid w:val="00FD1D20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810E6C50-E26A-42A0-80CA-67FF977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5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307B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8307B4"/>
    <w:pPr>
      <w:spacing w:before="920"/>
      <w:ind w:right="4706"/>
    </w:pPr>
    <w:rPr>
      <w:caps/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8307B4"/>
    <w:pPr>
      <w:tabs>
        <w:tab w:val="left" w:pos="6237"/>
      </w:tabs>
      <w:spacing w:before="80" w:after="120"/>
    </w:pPr>
  </w:style>
  <w:style w:type="paragraph" w:customStyle="1" w:styleId="Pealkiri">
    <w:name w:val="Pealkiri"/>
    <w:basedOn w:val="Normal"/>
    <w:next w:val="Tekst"/>
    <w:qFormat/>
    <w:rsid w:val="003D64D6"/>
    <w:pPr>
      <w:spacing w:before="960" w:after="60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8062FB"/>
    <w:pPr>
      <w:spacing w:before="1000"/>
    </w:pPr>
  </w:style>
  <w:style w:type="paragraph" w:customStyle="1" w:styleId="Tekst">
    <w:name w:val="Tekst"/>
    <w:basedOn w:val="BodyText"/>
    <w:rsid w:val="008307B4"/>
    <w:pPr>
      <w:spacing w:after="120"/>
    </w:pPr>
  </w:style>
  <w:style w:type="paragraph" w:customStyle="1" w:styleId="Bodyl">
    <w:name w:val="Bodyl"/>
    <w:basedOn w:val="Normal"/>
    <w:rsid w:val="00C07FFC"/>
    <w:pPr>
      <w:jc w:val="right"/>
    </w:pPr>
  </w:style>
  <w:style w:type="paragraph" w:customStyle="1" w:styleId="Lisatekst">
    <w:name w:val="Lisatekst"/>
    <w:basedOn w:val="BodyText"/>
    <w:rsid w:val="00C07FFC"/>
    <w:pPr>
      <w:numPr>
        <w:numId w:val="7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rsid w:val="00C07FFC"/>
    <w:pPr>
      <w:numPr>
        <w:ilvl w:val="1"/>
        <w:numId w:val="7"/>
      </w:numPr>
      <w:spacing w:before="80"/>
    </w:pPr>
  </w:style>
  <w:style w:type="paragraph" w:customStyle="1" w:styleId="Bodymlisa">
    <w:name w:val="Bodymlisa"/>
    <w:basedOn w:val="Normal"/>
    <w:rsid w:val="00C07FFC"/>
    <w:pPr>
      <w:numPr>
        <w:ilvl w:val="2"/>
        <w:numId w:val="7"/>
      </w:numPr>
    </w:pPr>
  </w:style>
  <w:style w:type="paragraph" w:customStyle="1" w:styleId="Lisapealkiri">
    <w:name w:val="Lisapealkiri"/>
    <w:basedOn w:val="BodyText"/>
    <w:qFormat/>
    <w:rsid w:val="00377079"/>
    <w:pPr>
      <w:tabs>
        <w:tab w:val="left" w:pos="6521"/>
      </w:tabs>
      <w:spacing w:before="240" w:after="240"/>
    </w:pPr>
    <w:rPr>
      <w:b/>
      <w:bCs/>
    </w:rPr>
  </w:style>
  <w:style w:type="paragraph" w:customStyle="1" w:styleId="Preambul">
    <w:name w:val="Preambul"/>
    <w:basedOn w:val="Tekst"/>
    <w:qFormat/>
    <w:rsid w:val="00BC0C50"/>
    <w:pPr>
      <w:spacing w:after="240"/>
    </w:pPr>
  </w:style>
  <w:style w:type="character" w:customStyle="1" w:styleId="HeaderChar">
    <w:name w:val="Header Char"/>
    <w:basedOn w:val="DefaultParagraphFont"/>
    <w:link w:val="Header"/>
    <w:rsid w:val="00762308"/>
    <w:rPr>
      <w:sz w:val="24"/>
      <w:lang w:eastAsia="en-US"/>
    </w:rPr>
  </w:style>
  <w:style w:type="paragraph" w:customStyle="1" w:styleId="Nimiall">
    <w:name w:val="Nimi all"/>
    <w:basedOn w:val="Normal"/>
    <w:qFormat/>
    <w:rsid w:val="00762308"/>
    <w:pPr>
      <w:tabs>
        <w:tab w:val="left" w:pos="5103"/>
      </w:tabs>
      <w:spacing w:before="960"/>
    </w:pPr>
  </w:style>
  <w:style w:type="paragraph" w:customStyle="1" w:styleId="Default">
    <w:name w:val="Default"/>
    <w:rsid w:val="00C634D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3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ealk1">
    <w:name w:val="Pealk1"/>
    <w:basedOn w:val="BodyText"/>
    <w:next w:val="BodyText"/>
    <w:qFormat/>
    <w:rsid w:val="001C4E05"/>
    <w:pPr>
      <w:keepNext/>
      <w:tabs>
        <w:tab w:val="left" w:pos="6521"/>
      </w:tabs>
      <w:spacing w:before="40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Kai Aviksoo</dc:creator>
  <cp:keywords/>
  <dc:description/>
  <cp:lastModifiedBy>Kairi Schütz</cp:lastModifiedBy>
  <cp:revision>6</cp:revision>
  <cp:lastPrinted>2003-02-05T10:15:00Z</cp:lastPrinted>
  <dcterms:created xsi:type="dcterms:W3CDTF">2016-09-06T11:29:00Z</dcterms:created>
  <dcterms:modified xsi:type="dcterms:W3CDTF">2019-11-05T08:21:00Z</dcterms:modified>
</cp:coreProperties>
</file>