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D6" w:rsidRDefault="002E0437">
      <w:pPr>
        <w:pStyle w:val="Body"/>
        <w:jc w:val="right"/>
      </w:pPr>
      <w:r>
        <w:t>ALGTEKST-</w:t>
      </w:r>
      <w:r w:rsidR="00F208D6">
        <w:t>TERVIKTEKST</w:t>
      </w:r>
    </w:p>
    <w:p w:rsidR="009523D6" w:rsidRPr="00622948" w:rsidRDefault="00F208D6" w:rsidP="00622948">
      <w:pPr>
        <w:pStyle w:val="Body"/>
      </w:pPr>
      <w:r w:rsidRPr="00622948">
        <w:t xml:space="preserve">Kinnitatud </w:t>
      </w:r>
      <w:r w:rsidR="009523D6" w:rsidRPr="00622948">
        <w:t xml:space="preserve">rektori </w:t>
      </w:r>
      <w:r w:rsidR="00321CDC" w:rsidRPr="00622948">
        <w:t>02.05.2016</w:t>
      </w:r>
      <w:r w:rsidRPr="00622948">
        <w:t xml:space="preserve"> </w:t>
      </w:r>
      <w:r w:rsidR="009523D6" w:rsidRPr="00622948">
        <w:t xml:space="preserve">käskkirjaga nr </w:t>
      </w:r>
      <w:r w:rsidR="00321CDC" w:rsidRPr="00622948">
        <w:t>70</w:t>
      </w:r>
    </w:p>
    <w:p w:rsidR="00332A87" w:rsidRDefault="00332A87" w:rsidP="007F582C">
      <w:pPr>
        <w:pStyle w:val="Pealk1"/>
        <w:spacing w:before="360"/>
      </w:pPr>
      <w:r w:rsidRPr="00332A87">
        <w:t>E-posti teenuse kasutuskord</w:t>
      </w:r>
    </w:p>
    <w:p w:rsidR="00332A87" w:rsidRPr="00622948" w:rsidRDefault="00332A87" w:rsidP="00622948">
      <w:pPr>
        <w:pStyle w:val="Loetelu"/>
      </w:pPr>
      <w:r w:rsidRPr="00622948">
        <w:t>Üldsätted</w:t>
      </w:r>
    </w:p>
    <w:p w:rsidR="00332A87" w:rsidRPr="00622948" w:rsidRDefault="00332A87" w:rsidP="00622948">
      <w:pPr>
        <w:pStyle w:val="Bodyt"/>
      </w:pPr>
      <w:r w:rsidRPr="00622948">
        <w:t>E-posti teenuse kasutuskord (edaspidi kord) kehtib kõigile Tallinna Tehnikaülikooli (edaspidi TTÜ) e-posti teenuse (edaspidi teenus) kasutajatele.</w:t>
      </w:r>
    </w:p>
    <w:p w:rsidR="00332A87" w:rsidRPr="00622948" w:rsidRDefault="00332A87" w:rsidP="00622948">
      <w:pPr>
        <w:pStyle w:val="Bodyt"/>
      </w:pPr>
      <w:r w:rsidRPr="00622948">
        <w:t xml:space="preserve">Käesolevas dokumendis reguleeritakse teenuse kasutamise tingimused. </w:t>
      </w:r>
      <w:r w:rsidR="00D9617C">
        <w:br/>
      </w:r>
      <w:r w:rsidRPr="00622948">
        <w:t xml:space="preserve">Kord on osa TTÜ töökorralduse regulatsioonist. </w:t>
      </w:r>
    </w:p>
    <w:p w:rsidR="00332A87" w:rsidRPr="00622948" w:rsidRDefault="00332A87" w:rsidP="00622948">
      <w:pPr>
        <w:pStyle w:val="Bodyt"/>
      </w:pPr>
      <w:r w:rsidRPr="00622948">
        <w:t>E-posti teenuse haldur on infotehnoloogia osakond.</w:t>
      </w:r>
    </w:p>
    <w:p w:rsidR="00332A87" w:rsidRDefault="00332A87" w:rsidP="00332A87">
      <w:pPr>
        <w:pStyle w:val="Bodyt"/>
        <w:rPr>
          <w:color w:val="000000" w:themeColor="text1"/>
        </w:rPr>
      </w:pPr>
      <w:r>
        <w:rPr>
          <w:color w:val="000000" w:themeColor="text1"/>
        </w:rPr>
        <w:t>E-posti teenuse osutamiseks kasutatakse Microsoft Office 365 platvormi.</w:t>
      </w:r>
    </w:p>
    <w:p w:rsidR="00332A87" w:rsidRPr="00622948" w:rsidRDefault="00332A87" w:rsidP="00622948">
      <w:pPr>
        <w:pStyle w:val="Bodyt"/>
        <w:rPr>
          <w:color w:val="000000" w:themeColor="text1"/>
        </w:rPr>
      </w:pPr>
      <w:r w:rsidRPr="00622948">
        <w:t>Lisaks käesolevale korrale rakenduvad teenuse kasutajale Microsoft Office 365</w:t>
      </w:r>
      <w:r w:rsidRPr="00622948">
        <w:rPr>
          <w:color w:val="000000" w:themeColor="text1"/>
        </w:rPr>
        <w:t xml:space="preserve"> </w:t>
      </w:r>
      <w:r w:rsidRPr="00622948">
        <w:t>kasutustingimused</w:t>
      </w:r>
      <w:r>
        <w:rPr>
          <w:rStyle w:val="FootnoteReference"/>
          <w:color w:val="000000" w:themeColor="text1"/>
        </w:rPr>
        <w:footnoteReference w:id="1"/>
      </w:r>
      <w:r w:rsidRPr="00622948">
        <w:rPr>
          <w:color w:val="000000" w:themeColor="text1"/>
        </w:rPr>
        <w:t>.</w:t>
      </w:r>
    </w:p>
    <w:p w:rsidR="00332A87" w:rsidRPr="00622948" w:rsidRDefault="00332A87" w:rsidP="00622948">
      <w:pPr>
        <w:pStyle w:val="Loetelu"/>
      </w:pPr>
      <w:r w:rsidRPr="00622948">
        <w:t>E-postkast ja e-posti aadressid</w:t>
      </w:r>
    </w:p>
    <w:p w:rsidR="00332A87" w:rsidRPr="00622948" w:rsidRDefault="00332A87" w:rsidP="00622948">
      <w:pPr>
        <w:pStyle w:val="Bodyt"/>
      </w:pPr>
      <w:r w:rsidRPr="00622948">
        <w:t>TTÜ e-postkastid ja e-posti aadressid kuuluvad TTÜle.</w:t>
      </w:r>
    </w:p>
    <w:p w:rsidR="00332A87" w:rsidRPr="00622948" w:rsidRDefault="00332A87" w:rsidP="00622948">
      <w:pPr>
        <w:pStyle w:val="Bodyt"/>
      </w:pPr>
      <w:r w:rsidRPr="00622948">
        <w:t>TTÜ ametlikud e-posti aadressid on „@ttu.ee</w:t>
      </w:r>
      <w:r w:rsidR="00D56A24" w:rsidRPr="00622948">
        <w:t>”</w:t>
      </w:r>
      <w:r w:rsidRPr="00622948">
        <w:t xml:space="preserve"> lõpuga.</w:t>
      </w:r>
    </w:p>
    <w:p w:rsidR="00332A87" w:rsidRPr="00622948" w:rsidRDefault="00332A87" w:rsidP="00622948">
      <w:pPr>
        <w:pStyle w:val="Bodyt"/>
      </w:pPr>
      <w:r w:rsidRPr="00622948">
        <w:t>TTÜ e-posti aadressid on avalik teave.</w:t>
      </w:r>
    </w:p>
    <w:p w:rsidR="00332A87" w:rsidRPr="00622948" w:rsidRDefault="00332A87" w:rsidP="00622948">
      <w:pPr>
        <w:pStyle w:val="Bodyt"/>
      </w:pPr>
      <w:r w:rsidRPr="00622948">
        <w:t>TTÜ võib e-posti aadressidele edastada TTÜga seotud teavet.</w:t>
      </w:r>
    </w:p>
    <w:p w:rsidR="00332A87" w:rsidRPr="00622948" w:rsidRDefault="00332A87" w:rsidP="00622948">
      <w:pPr>
        <w:pStyle w:val="Bodyt"/>
      </w:pPr>
      <w:r w:rsidRPr="00622948">
        <w:t>E-posti aadressid liigituvad isikustatud ja isikustamata aadressideks.</w:t>
      </w:r>
    </w:p>
    <w:p w:rsidR="00332A87" w:rsidRPr="00622948" w:rsidRDefault="00332A87" w:rsidP="00622948">
      <w:pPr>
        <w:pStyle w:val="Bodyt"/>
      </w:pPr>
      <w:r w:rsidRPr="00622948">
        <w:t>E-postkastiga võib olla seotud üks või mitu e-posti aadressi.</w:t>
      </w:r>
    </w:p>
    <w:p w:rsidR="00332A87" w:rsidRPr="00622948" w:rsidRDefault="00332A87" w:rsidP="00622948">
      <w:pPr>
        <w:pStyle w:val="Bodyt"/>
      </w:pPr>
      <w:r w:rsidRPr="00622948">
        <w:t>Isikustatud TTÜ e-posti aadress ja e-postkast tekivad automaatselt koos TTÜ Uni-ID kasutajatunnuse loomisega. Teenuse haldur edastab isikule andmed talle loodud e-postkasti kohta.</w:t>
      </w:r>
    </w:p>
    <w:p w:rsidR="00332A87" w:rsidRPr="00622948" w:rsidRDefault="00332A87" w:rsidP="00622948">
      <w:pPr>
        <w:pStyle w:val="Bodyt"/>
      </w:pPr>
      <w:r w:rsidRPr="00622948">
        <w:t>Isikustatud e-posti aadress ja e-postkast suletakse ja nende kasutusõigus peatatakse TTÜ</w:t>
      </w:r>
      <w:r w:rsidR="00622948">
        <w:t> </w:t>
      </w:r>
      <w:r w:rsidRPr="00622948">
        <w:t>Uni-ID sulgemisega, samuti eemaldatakse suunamised ning seatakse asjakohane automaatvastus.</w:t>
      </w:r>
    </w:p>
    <w:p w:rsidR="00332A87" w:rsidRPr="00622948" w:rsidRDefault="00332A87" w:rsidP="00622948">
      <w:pPr>
        <w:pStyle w:val="Bodyt"/>
      </w:pPr>
      <w:r w:rsidRPr="00622948">
        <w:t xml:space="preserve">E-postkast säilitatakse suletuna üks aasta. </w:t>
      </w:r>
    </w:p>
    <w:p w:rsidR="00332A87" w:rsidRPr="00622948" w:rsidRDefault="00332A87" w:rsidP="00622948">
      <w:pPr>
        <w:pStyle w:val="Bodyt"/>
      </w:pPr>
      <w:r w:rsidRPr="00622948">
        <w:t xml:space="preserve">Isikustatud e-postkasti kasutamist pärast TTÜs töötamise lõppu võib pikendada vastavalt digitaalse identiteedi eeskirjas sätestatule. </w:t>
      </w:r>
      <w:bookmarkStart w:id="0" w:name="_GoBack"/>
      <w:bookmarkEnd w:id="0"/>
    </w:p>
    <w:p w:rsidR="00332A87" w:rsidRPr="00622948" w:rsidRDefault="00332A87" w:rsidP="00622948">
      <w:pPr>
        <w:pStyle w:val="Bodyt"/>
      </w:pPr>
      <w:r w:rsidRPr="00622948">
        <w:t xml:space="preserve">TTÜl on õigus automatiseeritud sisuanalüüsi abil kontrollida ja vajadusel eemaldada </w:t>
      </w:r>
      <w:proofErr w:type="spellStart"/>
      <w:r w:rsidRPr="00622948">
        <w:t>e-kirju</w:t>
      </w:r>
      <w:proofErr w:type="spellEnd"/>
      <w:r w:rsidRPr="00622948">
        <w:t xml:space="preserve"> ja nende manuseid.</w:t>
      </w:r>
    </w:p>
    <w:p w:rsidR="00332A87" w:rsidRPr="00622948" w:rsidRDefault="00332A87" w:rsidP="00622948">
      <w:pPr>
        <w:pStyle w:val="Loetelu"/>
      </w:pPr>
      <w:r w:rsidRPr="00622948">
        <w:t>Isikustatud e-posti aadress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Isikustatud e-posti aadress on kujul „Uni-ID kasutajatunnus@ttu.ee</w:t>
      </w:r>
      <w:r w:rsidR="007668BB" w:rsidRPr="00622948">
        <w:t>”</w:t>
      </w:r>
      <w:r w:rsidRPr="00622948">
        <w:t>.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TTÜs töötavatele isikutele ja doktorantidele luuakse lisaks primaarne ees- ja perekonnanimest koosnev e-posti aadress.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Üliõpilastele luuakse lisaks sekundaarne e-posti aadress kujul „matriklinumber@ttu.ee</w:t>
      </w:r>
      <w:r w:rsidR="00064A85" w:rsidRPr="00622948">
        <w:t>”</w:t>
      </w:r>
      <w:r w:rsidRPr="00622948">
        <w:t xml:space="preserve">. 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 xml:space="preserve"> TTÜs töötavatel isikutel ja doktorantidel on õigus valida ise endale sobiv e-posti aadress järgmistel juhtudel: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mitme samanimelise isiku puhul;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muudel põhjendatud juhtudel.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Isikustatud e-posti aadressile saabuvaid kirju võib kasutaja edasi suunata.</w:t>
      </w:r>
    </w:p>
    <w:p w:rsidR="00332A87" w:rsidRPr="00622948" w:rsidRDefault="00332A87" w:rsidP="00622948">
      <w:pPr>
        <w:pStyle w:val="Loetelu"/>
      </w:pPr>
      <w:r w:rsidRPr="00622948">
        <w:t>Isikustamata e-posti aadress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Isikustamata e-posti aadress on TTÜ üksuse, rolli, seadme või funktsiooni e-posti aadress.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Isikustamata e-posti aadress luuakse ja suletakse teenuse haldurile saadetud tellimuse alusel.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lastRenderedPageBreak/>
        <w:t>Igale isikustamata e-posti aadressile määrab teenuse haldur vastutava isiku, lähtudes tellimusest.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Isikustamata e-posti aadressi eest vastutav isik on kohustatud vähemalt üks kord aasta jooksul kontrollima selle vajalikkust ja ajakohasust.</w:t>
      </w:r>
    </w:p>
    <w:p w:rsidR="00332A87" w:rsidRPr="00622948" w:rsidRDefault="00332A87" w:rsidP="00622948">
      <w:pPr>
        <w:pStyle w:val="Loetelu"/>
      </w:pPr>
      <w:r w:rsidRPr="00622948">
        <w:t xml:space="preserve">Tööalane ja isiklik kirjavahetus 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TTÜs töötavad isikud peavad tööalases suhtluses kasutama TTÜ e-posti aadresse.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Isikustatud e-posti aadressi võib kasutada isikliku kirjavahetuse pidamiseks, kuid isiklik kirjavahetus tuleb soovitavalt tähistada üheselt arusaadavalt kui isiklik kirjavahetus, nt</w:t>
      </w:r>
      <w:r w:rsidR="00D9617C">
        <w:t> </w:t>
      </w:r>
      <w:r w:rsidRPr="00622948">
        <w:t>paigaldades selle eraldi kausta.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Isikustamata e-posti aadresse ei kasutata isikliku kirjavahetuse pidamiseks.</w:t>
      </w:r>
    </w:p>
    <w:p w:rsidR="00332A87" w:rsidRPr="00622948" w:rsidRDefault="00332A87" w:rsidP="00622948">
      <w:pPr>
        <w:pStyle w:val="Bodyt"/>
        <w:numPr>
          <w:ilvl w:val="1"/>
          <w:numId w:val="4"/>
        </w:numPr>
      </w:pPr>
      <w:r w:rsidRPr="00622948">
        <w:t>Enne TTÜ Uni-ID sulgemist peab kasutaja eemaldama e-postkastist isikliku kirjavahetuse. Pärast TTÜ Uni-ID sulgemist läheb kogu e-postkasti sisu üle TTÜle.</w:t>
      </w:r>
    </w:p>
    <w:p w:rsidR="00332A87" w:rsidRPr="00622948" w:rsidRDefault="00332A87" w:rsidP="00622948">
      <w:pPr>
        <w:pStyle w:val="Loetelu"/>
      </w:pPr>
      <w:r w:rsidRPr="00622948">
        <w:t>E-postkasti avamine</w:t>
      </w:r>
    </w:p>
    <w:p w:rsidR="00332A87" w:rsidRDefault="00332A87" w:rsidP="00D9617C">
      <w:pPr>
        <w:pStyle w:val="Bodyt"/>
        <w:numPr>
          <w:ilvl w:val="0"/>
          <w:numId w:val="0"/>
        </w:numPr>
      </w:pPr>
      <w:r w:rsidRPr="00622948">
        <w:t>Isikustatud e-postkasti avamine ja kirjavahetuse lugemine TTÜ poolt on võimalik:</w:t>
      </w:r>
    </w:p>
    <w:p w:rsidR="00332A87" w:rsidRPr="00622948" w:rsidRDefault="00332A87" w:rsidP="00622948">
      <w:pPr>
        <w:pStyle w:val="Bodyt1"/>
      </w:pPr>
      <w:r w:rsidRPr="00622948">
        <w:t>e-postkasti kasutaja nõusolekul;</w:t>
      </w:r>
    </w:p>
    <w:p w:rsidR="00332A87" w:rsidRPr="00622948" w:rsidRDefault="00332A87" w:rsidP="00622948">
      <w:pPr>
        <w:pStyle w:val="Bodyt1"/>
      </w:pPr>
      <w:r w:rsidRPr="00622948">
        <w:t>e-postkasti kasutaja nõusolekuta, vajalikus mahus, e-postkasti kasutaja vahetu juhi taotlusel ja isikuandmete kaitse eest vastutava isiku kooskõlastusel;</w:t>
      </w:r>
    </w:p>
    <w:p w:rsidR="00332A87" w:rsidRPr="00622948" w:rsidRDefault="00332A87" w:rsidP="00622948">
      <w:pPr>
        <w:pStyle w:val="Bodyt1"/>
      </w:pPr>
      <w:r w:rsidRPr="00622948">
        <w:t>infoturbe intsidendi lahendamisel teenuse halduri poolt;</w:t>
      </w:r>
    </w:p>
    <w:p w:rsidR="00332A87" w:rsidRPr="00622948" w:rsidRDefault="00332A87" w:rsidP="00622948">
      <w:pPr>
        <w:pStyle w:val="Bodyt1"/>
      </w:pPr>
      <w:r w:rsidRPr="00622948">
        <w:t xml:space="preserve">seadusest tulenevatel juhtudel. </w:t>
      </w:r>
    </w:p>
    <w:p w:rsidR="00332A87" w:rsidRPr="00D9617C" w:rsidRDefault="00332A87" w:rsidP="00D9617C">
      <w:pPr>
        <w:pStyle w:val="Loetelu"/>
      </w:pPr>
      <w:r w:rsidRPr="00D9617C">
        <w:t>E-postkasti kasutamise erakorraline peatamine</w:t>
      </w:r>
    </w:p>
    <w:p w:rsidR="00332A87" w:rsidRPr="00D9617C" w:rsidRDefault="00332A87" w:rsidP="00D9617C">
      <w:pPr>
        <w:pStyle w:val="Bodyt"/>
        <w:numPr>
          <w:ilvl w:val="0"/>
          <w:numId w:val="0"/>
        </w:numPr>
      </w:pPr>
      <w:r w:rsidRPr="00D9617C">
        <w:t>Teenuse halduril on õigus teenus erakorraliselt peatada:</w:t>
      </w:r>
    </w:p>
    <w:p w:rsidR="00332A87" w:rsidRDefault="00332A87" w:rsidP="00622948">
      <w:pPr>
        <w:pStyle w:val="Bodyt1"/>
      </w:pPr>
      <w:r>
        <w:t>turvaintsidendi ära hoidmiseks või lahendamiseks;</w:t>
      </w:r>
    </w:p>
    <w:p w:rsidR="00332A87" w:rsidRDefault="00332A87" w:rsidP="00622948">
      <w:pPr>
        <w:pStyle w:val="Bodyt1"/>
      </w:pPr>
      <w:r>
        <w:t>TTÜ või TTÜga seotud isiku mainekahju vältimiseks;</w:t>
      </w:r>
    </w:p>
    <w:p w:rsidR="00E238DF" w:rsidRDefault="00332A87" w:rsidP="00622948">
      <w:pPr>
        <w:pStyle w:val="Bodyt1"/>
      </w:pPr>
      <w:r w:rsidRPr="00332A87">
        <w:t>muu kahjuliku tagajärje ärahoidmiseks.</w:t>
      </w:r>
    </w:p>
    <w:p w:rsidR="00F67FE3" w:rsidRPr="00332A87" w:rsidRDefault="00F67FE3" w:rsidP="00D9617C"/>
    <w:p w:rsidR="00266E9B" w:rsidRPr="00B1592C" w:rsidRDefault="00266E9B" w:rsidP="00D9617C"/>
    <w:sectPr w:rsidR="00266E9B" w:rsidRPr="00B1592C" w:rsidSect="002E0437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40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34" w:rsidRDefault="00D31A34">
      <w:r>
        <w:separator/>
      </w:r>
    </w:p>
  </w:endnote>
  <w:endnote w:type="continuationSeparator" w:id="0">
    <w:p w:rsidR="00D31A34" w:rsidRDefault="00D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7F5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34" w:rsidRDefault="00D31A34">
      <w:r>
        <w:separator/>
      </w:r>
    </w:p>
  </w:footnote>
  <w:footnote w:type="continuationSeparator" w:id="0">
    <w:p w:rsidR="00D31A34" w:rsidRDefault="00D31A34">
      <w:r>
        <w:continuationSeparator/>
      </w:r>
    </w:p>
  </w:footnote>
  <w:footnote w:id="1">
    <w:p w:rsidR="00332A87" w:rsidRPr="00D9617C" w:rsidRDefault="00332A87" w:rsidP="00D9617C">
      <w:pPr>
        <w:pStyle w:val="EndnoteText"/>
      </w:pPr>
      <w:r w:rsidRPr="0001296D">
        <w:rPr>
          <w:rStyle w:val="FootnoteReference"/>
        </w:rPr>
        <w:footnoteRef/>
      </w:r>
      <w:r w:rsidRPr="0001296D">
        <w:t xml:space="preserve"> </w:t>
      </w:r>
      <w:r w:rsidR="00D9617C" w:rsidRPr="0001296D">
        <w:t xml:space="preserve">Kasutustingimused on viidatud TTÜ e-posti kasutusjuhendis, mis on leitav aadressil </w:t>
      </w:r>
      <w:hyperlink r:id="rId1" w:history="1">
        <w:r w:rsidR="00D9617C" w:rsidRPr="0001296D">
          <w:rPr>
            <w:rStyle w:val="Hyperlink"/>
          </w:rPr>
          <w:t>http://it.ttu.ee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7F5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957"/>
      <w:docPartObj>
        <w:docPartGallery w:val="Page Numbers (Top of Page)"/>
        <w:docPartUnique/>
      </w:docPartObj>
    </w:sdtPr>
    <w:sdtEndPr/>
    <w:sdtContent>
      <w:p w:rsidR="00D9617C" w:rsidRDefault="00D9617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8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EC8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3EA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7E7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61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8CC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E8F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C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6C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88F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35274B8"/>
    <w:multiLevelType w:val="multilevel"/>
    <w:tmpl w:val="66DEC0A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7415325"/>
    <w:multiLevelType w:val="hybridMultilevel"/>
    <w:tmpl w:val="851E6340"/>
    <w:lvl w:ilvl="0" w:tplc="E22EA0E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1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13"/>
  </w:num>
  <w:num w:numId="8">
    <w:abstractNumId w:val="12"/>
  </w:num>
  <w:num w:numId="9">
    <w:abstractNumId w:val="12"/>
  </w:num>
  <w:num w:numId="10">
    <w:abstractNumId w:val="15"/>
  </w:num>
  <w:num w:numId="11">
    <w:abstractNumId w:val="12"/>
    <w:lvlOverride w:ilvl="0">
      <w:lvl w:ilvl="0">
        <w:start w:val="1"/>
        <w:numFmt w:val="decimal"/>
        <w:pStyle w:val="Loetelu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odyt1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  <w:lvlOverride w:ilvl="0">
      <w:lvl w:ilvl="0">
        <w:start w:val="1"/>
        <w:numFmt w:val="decimal"/>
        <w:pStyle w:val="Loetelu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odyt1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34"/>
    <w:rsid w:val="00005AB4"/>
    <w:rsid w:val="0001296D"/>
    <w:rsid w:val="00020028"/>
    <w:rsid w:val="0003207A"/>
    <w:rsid w:val="000327DF"/>
    <w:rsid w:val="000349F8"/>
    <w:rsid w:val="00064A85"/>
    <w:rsid w:val="0015159C"/>
    <w:rsid w:val="00172E2E"/>
    <w:rsid w:val="0017462D"/>
    <w:rsid w:val="00181FE5"/>
    <w:rsid w:val="00191C92"/>
    <w:rsid w:val="001A48DE"/>
    <w:rsid w:val="00216D52"/>
    <w:rsid w:val="00223C38"/>
    <w:rsid w:val="00224DE4"/>
    <w:rsid w:val="0026472F"/>
    <w:rsid w:val="00266E9B"/>
    <w:rsid w:val="00296B12"/>
    <w:rsid w:val="002E0437"/>
    <w:rsid w:val="002F4CFD"/>
    <w:rsid w:val="003111FD"/>
    <w:rsid w:val="00321CDC"/>
    <w:rsid w:val="00332A87"/>
    <w:rsid w:val="003E47C5"/>
    <w:rsid w:val="00446029"/>
    <w:rsid w:val="004755F2"/>
    <w:rsid w:val="00490791"/>
    <w:rsid w:val="004A7ED8"/>
    <w:rsid w:val="004B2413"/>
    <w:rsid w:val="004C4600"/>
    <w:rsid w:val="004E4948"/>
    <w:rsid w:val="004F6479"/>
    <w:rsid w:val="00507FD8"/>
    <w:rsid w:val="00575A79"/>
    <w:rsid w:val="00581B1E"/>
    <w:rsid w:val="005916D1"/>
    <w:rsid w:val="00594466"/>
    <w:rsid w:val="005C7E55"/>
    <w:rsid w:val="00612761"/>
    <w:rsid w:val="00622948"/>
    <w:rsid w:val="00652A11"/>
    <w:rsid w:val="00675987"/>
    <w:rsid w:val="006D07D8"/>
    <w:rsid w:val="006D558F"/>
    <w:rsid w:val="007402B4"/>
    <w:rsid w:val="007668BB"/>
    <w:rsid w:val="00795AF6"/>
    <w:rsid w:val="007A4F68"/>
    <w:rsid w:val="007F582C"/>
    <w:rsid w:val="00821FA5"/>
    <w:rsid w:val="00844750"/>
    <w:rsid w:val="00854B15"/>
    <w:rsid w:val="00890DF3"/>
    <w:rsid w:val="008B6D49"/>
    <w:rsid w:val="008D2DCA"/>
    <w:rsid w:val="008F28A4"/>
    <w:rsid w:val="009523D6"/>
    <w:rsid w:val="009705AC"/>
    <w:rsid w:val="0097641D"/>
    <w:rsid w:val="009B5254"/>
    <w:rsid w:val="009D638A"/>
    <w:rsid w:val="009F71F0"/>
    <w:rsid w:val="00A22C7F"/>
    <w:rsid w:val="00A51164"/>
    <w:rsid w:val="00A6532D"/>
    <w:rsid w:val="00A66EC1"/>
    <w:rsid w:val="00A80EC2"/>
    <w:rsid w:val="00A87B76"/>
    <w:rsid w:val="00AB7B24"/>
    <w:rsid w:val="00B1592C"/>
    <w:rsid w:val="00B3445F"/>
    <w:rsid w:val="00B71485"/>
    <w:rsid w:val="00B85859"/>
    <w:rsid w:val="00BA5708"/>
    <w:rsid w:val="00BB7B8E"/>
    <w:rsid w:val="00C3154A"/>
    <w:rsid w:val="00C55AEF"/>
    <w:rsid w:val="00C665D7"/>
    <w:rsid w:val="00C720C2"/>
    <w:rsid w:val="00C82D40"/>
    <w:rsid w:val="00CC001A"/>
    <w:rsid w:val="00CF4B4B"/>
    <w:rsid w:val="00CF503E"/>
    <w:rsid w:val="00D31A34"/>
    <w:rsid w:val="00D43664"/>
    <w:rsid w:val="00D56A24"/>
    <w:rsid w:val="00D57B9E"/>
    <w:rsid w:val="00D9617C"/>
    <w:rsid w:val="00E20204"/>
    <w:rsid w:val="00E238DF"/>
    <w:rsid w:val="00E44CAE"/>
    <w:rsid w:val="00E51D5F"/>
    <w:rsid w:val="00E7551A"/>
    <w:rsid w:val="00E928FC"/>
    <w:rsid w:val="00E94E83"/>
    <w:rsid w:val="00E95736"/>
    <w:rsid w:val="00EA7DD5"/>
    <w:rsid w:val="00EB51D6"/>
    <w:rsid w:val="00EB59F6"/>
    <w:rsid w:val="00ED183F"/>
    <w:rsid w:val="00EE150D"/>
    <w:rsid w:val="00F208D6"/>
    <w:rsid w:val="00F34359"/>
    <w:rsid w:val="00F46FA9"/>
    <w:rsid w:val="00F67FE3"/>
    <w:rsid w:val="00F73D33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9E14B544-FC0E-46EE-9126-4878DBF7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7C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020028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622948"/>
    <w:pPr>
      <w:numPr>
        <w:numId w:val="8"/>
      </w:numPr>
      <w:spacing w:before="120"/>
    </w:pPr>
    <w:rPr>
      <w:b/>
    </w:rPr>
  </w:style>
  <w:style w:type="paragraph" w:customStyle="1" w:styleId="Bodyt">
    <w:name w:val="Bodyt"/>
    <w:basedOn w:val="Normal"/>
    <w:rsid w:val="00622948"/>
    <w:pPr>
      <w:numPr>
        <w:ilvl w:val="1"/>
        <w:numId w:val="8"/>
      </w:numPr>
      <w:spacing w:before="80"/>
    </w:pPr>
  </w:style>
  <w:style w:type="paragraph" w:customStyle="1" w:styleId="Pealkiri">
    <w:name w:val="Pealkiri"/>
    <w:basedOn w:val="BodyText"/>
    <w:next w:val="BodyText"/>
    <w:qFormat/>
    <w:rsid w:val="00F34359"/>
    <w:pPr>
      <w:spacing w:before="960" w:after="600"/>
      <w:ind w:right="5103"/>
    </w:pPr>
  </w:style>
  <w:style w:type="paragraph" w:customStyle="1" w:styleId="Tallinn">
    <w:name w:val="Tallinn"/>
    <w:basedOn w:val="BodyText"/>
    <w:next w:val="BodyText"/>
    <w:qFormat/>
    <w:rsid w:val="00B85859"/>
    <w:pPr>
      <w:spacing w:before="8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BodyText"/>
    <w:next w:val="BodyText"/>
    <w:qFormat/>
    <w:rsid w:val="00E7551A"/>
    <w:pPr>
      <w:spacing w:before="1200"/>
    </w:pPr>
  </w:style>
  <w:style w:type="paragraph" w:customStyle="1" w:styleId="Lisatekst">
    <w:name w:val="Lisatekst"/>
    <w:basedOn w:val="BodyText"/>
    <w:rsid w:val="006D07D8"/>
    <w:pPr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6D07D8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F67FE3"/>
    <w:pPr>
      <w:numPr>
        <w:numId w:val="5"/>
      </w:numPr>
    </w:pPr>
  </w:style>
  <w:style w:type="paragraph" w:customStyle="1" w:styleId="LisaBodyt2">
    <w:name w:val="LisaBodyt2"/>
    <w:basedOn w:val="LisaBodyt"/>
    <w:qFormat/>
    <w:rsid w:val="00F67FE3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character" w:styleId="Hyperlink">
    <w:name w:val="Hyperlink"/>
    <w:basedOn w:val="DefaultParagraphFont"/>
    <w:uiPriority w:val="99"/>
    <w:semiHidden/>
    <w:unhideWhenUsed/>
    <w:rsid w:val="00332A8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A87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A87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2A8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38DF"/>
    <w:rPr>
      <w:rFonts w:ascii="Segoe UI" w:hAnsi="Segoe UI" w:cs="Segoe UI"/>
      <w:sz w:val="18"/>
      <w:szCs w:val="18"/>
      <w:lang w:val="en-GB" w:eastAsia="en-US"/>
    </w:rPr>
  </w:style>
  <w:style w:type="paragraph" w:customStyle="1" w:styleId="Pealk1">
    <w:name w:val="Pealk1"/>
    <w:basedOn w:val="BodyText"/>
    <w:next w:val="BodyText"/>
    <w:qFormat/>
    <w:rsid w:val="00622948"/>
    <w:pPr>
      <w:keepNext/>
      <w:tabs>
        <w:tab w:val="left" w:pos="6521"/>
      </w:tabs>
      <w:spacing w:before="400" w:after="120"/>
    </w:pPr>
    <w:rPr>
      <w:b/>
    </w:rPr>
  </w:style>
  <w:style w:type="paragraph" w:customStyle="1" w:styleId="Bodyt1">
    <w:name w:val="Bodyt1"/>
    <w:basedOn w:val="Bodyt"/>
    <w:qFormat/>
    <w:rsid w:val="00D9617C"/>
    <w:pPr>
      <w:numPr>
        <w:ilvl w:val="2"/>
      </w:numPr>
      <w:spacing w:before="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617C"/>
    <w:rPr>
      <w:sz w:val="24"/>
      <w:lang w:eastAsia="en-US"/>
    </w:rPr>
  </w:style>
  <w:style w:type="paragraph" w:styleId="EndnoteText">
    <w:name w:val="endnote text"/>
    <w:basedOn w:val="Normal"/>
    <w:link w:val="EndnoteTextChar"/>
    <w:unhideWhenUsed/>
    <w:rsid w:val="00D9617C"/>
    <w:rPr>
      <w:sz w:val="20"/>
    </w:rPr>
  </w:style>
  <w:style w:type="character" w:customStyle="1" w:styleId="BodyTextChar">
    <w:name w:val="Body Text Char"/>
    <w:basedOn w:val="DefaultParagraphFont"/>
    <w:link w:val="BodyText"/>
    <w:rsid w:val="00D9617C"/>
    <w:rPr>
      <w:sz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961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t.tt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91E0-CFF5-4AB0-90EA-91B2D213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Anneli Kõrve</dc:creator>
  <cp:keywords/>
  <dc:description/>
  <cp:lastModifiedBy>Kai Aviksoo</cp:lastModifiedBy>
  <cp:revision>3</cp:revision>
  <cp:lastPrinted>2016-04-29T10:57:00Z</cp:lastPrinted>
  <dcterms:created xsi:type="dcterms:W3CDTF">2016-09-08T12:45:00Z</dcterms:created>
  <dcterms:modified xsi:type="dcterms:W3CDTF">2016-09-15T09:08:00Z</dcterms:modified>
</cp:coreProperties>
</file>