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DC51" w14:textId="483BC779" w:rsidR="00280FFF" w:rsidRPr="00280FFF" w:rsidRDefault="00280FFF">
      <w:pPr>
        <w:pStyle w:val="Bodyl"/>
        <w:rPr>
          <w:rFonts w:asciiTheme="minorHAnsi" w:hAnsiTheme="minorHAnsi" w:cstheme="minorHAnsi"/>
          <w:sz w:val="22"/>
        </w:rPr>
      </w:pPr>
      <w:r w:rsidRPr="00280FFF">
        <w:rPr>
          <w:rFonts w:asciiTheme="minorHAnsi" w:hAnsiTheme="minorHAnsi" w:cstheme="minorHAnsi"/>
          <w:sz w:val="22"/>
        </w:rPr>
        <w:t>TERVIKTEKST</w:t>
      </w:r>
    </w:p>
    <w:p w14:paraId="404FDB60" w14:textId="06DDE2AE" w:rsidR="00BB1DBC" w:rsidRPr="00BB1DBC" w:rsidRDefault="00280FFF" w:rsidP="00BB1DBC">
      <w:pPr>
        <w:pStyle w:val="Pealkiri"/>
        <w:spacing w:before="240" w:after="120"/>
        <w:ind w:right="0"/>
        <w:rPr>
          <w:rFonts w:asciiTheme="minorHAnsi" w:hAnsiTheme="minorHAnsi" w:cstheme="minorHAnsi"/>
          <w:sz w:val="22"/>
          <w:szCs w:val="22"/>
        </w:rPr>
      </w:pPr>
      <w:r w:rsidRPr="00280FFF">
        <w:rPr>
          <w:rFonts w:asciiTheme="minorHAnsi" w:hAnsiTheme="minorHAnsi" w:cstheme="minorHAnsi"/>
          <w:sz w:val="22"/>
          <w:szCs w:val="22"/>
        </w:rPr>
        <w:t xml:space="preserve">Kinnitatud </w:t>
      </w:r>
      <w:r w:rsidR="00CA23AA" w:rsidRPr="00280FFF">
        <w:rPr>
          <w:rFonts w:asciiTheme="minorHAnsi" w:hAnsiTheme="minorHAnsi" w:cstheme="minorHAnsi"/>
          <w:sz w:val="22"/>
          <w:szCs w:val="22"/>
        </w:rPr>
        <w:t>Tallinna Tehnikaülikooli</w:t>
      </w:r>
      <w:r w:rsidR="00754CC6" w:rsidRPr="00280FFF">
        <w:rPr>
          <w:rFonts w:asciiTheme="minorHAnsi" w:hAnsiTheme="minorHAnsi" w:cstheme="minorHAnsi"/>
          <w:sz w:val="22"/>
          <w:szCs w:val="22"/>
        </w:rPr>
        <w:t xml:space="preserve"> </w:t>
      </w:r>
      <w:r w:rsidRPr="00280FFF">
        <w:rPr>
          <w:rFonts w:asciiTheme="minorHAnsi" w:hAnsiTheme="minorHAnsi" w:cstheme="minorHAnsi"/>
          <w:sz w:val="22"/>
          <w:szCs w:val="22"/>
        </w:rPr>
        <w:t>senati 22.</w:t>
      </w:r>
      <w:r w:rsidR="00FE0EF6">
        <w:rPr>
          <w:rFonts w:asciiTheme="minorHAnsi" w:hAnsiTheme="minorHAnsi" w:cstheme="minorHAnsi"/>
          <w:sz w:val="22"/>
          <w:szCs w:val="22"/>
        </w:rPr>
        <w:t>10</w:t>
      </w:r>
      <w:r w:rsidRPr="00280FFF">
        <w:rPr>
          <w:rFonts w:asciiTheme="minorHAnsi" w:hAnsiTheme="minorHAnsi" w:cstheme="minorHAnsi"/>
          <w:sz w:val="22"/>
          <w:szCs w:val="22"/>
        </w:rPr>
        <w:t xml:space="preserve">.2019 </w:t>
      </w:r>
      <w:r w:rsidR="00754CC6" w:rsidRPr="00280FFF">
        <w:rPr>
          <w:rFonts w:asciiTheme="minorHAnsi" w:hAnsiTheme="minorHAnsi" w:cstheme="minorHAnsi"/>
          <w:sz w:val="22"/>
          <w:szCs w:val="22"/>
        </w:rPr>
        <w:t xml:space="preserve">otsusega nr </w:t>
      </w:r>
      <w:r w:rsidRPr="00280FFF">
        <w:rPr>
          <w:rFonts w:asciiTheme="minorHAnsi" w:hAnsiTheme="minorHAnsi" w:cstheme="minorHAnsi"/>
          <w:sz w:val="22"/>
          <w:szCs w:val="22"/>
        </w:rPr>
        <w:t>24 (jõustu</w:t>
      </w:r>
      <w:r w:rsidR="00BD0C17">
        <w:rPr>
          <w:rFonts w:asciiTheme="minorHAnsi" w:hAnsiTheme="minorHAnsi" w:cstheme="minorHAnsi"/>
          <w:sz w:val="22"/>
          <w:szCs w:val="22"/>
        </w:rPr>
        <w:t>nud</w:t>
      </w:r>
      <w:r w:rsidRPr="00280FFF">
        <w:rPr>
          <w:rFonts w:asciiTheme="minorHAnsi" w:hAnsiTheme="minorHAnsi" w:cstheme="minorHAnsi"/>
          <w:sz w:val="22"/>
          <w:szCs w:val="22"/>
        </w:rPr>
        <w:t xml:space="preserve"> 30.09.2019)</w:t>
      </w:r>
      <w:r w:rsidR="00BB1DBC">
        <w:rPr>
          <w:rFonts w:asciiTheme="minorHAnsi" w:hAnsiTheme="minorHAnsi" w:cstheme="minorHAnsi"/>
          <w:sz w:val="22"/>
          <w:szCs w:val="22"/>
        </w:rPr>
        <w:br/>
        <w:t>Muudetud Tallinna Tehnikaülikooli senati 16.03.2021 otsusega nr 7 (jõustunud 18.03.2021)</w:t>
      </w:r>
    </w:p>
    <w:p w14:paraId="2F8D67C6" w14:textId="69056310" w:rsidR="00280FFF" w:rsidRPr="00280FFF" w:rsidRDefault="00280FFF" w:rsidP="00280FFF">
      <w:pPr>
        <w:pStyle w:val="Tekst"/>
        <w:rPr>
          <w:rFonts w:asciiTheme="minorHAnsi" w:hAnsiTheme="minorHAnsi" w:cstheme="minorHAnsi"/>
          <w:sz w:val="22"/>
          <w:szCs w:val="22"/>
        </w:rPr>
      </w:pPr>
      <w:r w:rsidRPr="00280FFF">
        <w:rPr>
          <w:rFonts w:asciiTheme="minorHAnsi" w:hAnsiTheme="minorHAnsi" w:cstheme="minorHAnsi"/>
          <w:sz w:val="22"/>
          <w:szCs w:val="22"/>
        </w:rPr>
        <w:t xml:space="preserve">Redaktsiooni jõustumise kuupäev: </w:t>
      </w:r>
      <w:r w:rsidR="00BB1DBC">
        <w:rPr>
          <w:rFonts w:asciiTheme="minorHAnsi" w:hAnsiTheme="minorHAnsi" w:cstheme="minorHAnsi"/>
          <w:sz w:val="22"/>
          <w:szCs w:val="22"/>
        </w:rPr>
        <w:t>18.03.2021</w:t>
      </w:r>
    </w:p>
    <w:p w14:paraId="031C8F5D" w14:textId="77777777" w:rsidR="00C07FFC" w:rsidRPr="00280FFF" w:rsidRDefault="00782927" w:rsidP="00377079">
      <w:pPr>
        <w:pStyle w:val="Lisapealkiri"/>
        <w:rPr>
          <w:rFonts w:asciiTheme="minorHAnsi" w:hAnsiTheme="minorHAnsi" w:cstheme="minorHAnsi"/>
          <w:sz w:val="22"/>
          <w:szCs w:val="22"/>
        </w:rPr>
      </w:pPr>
      <w:r w:rsidRPr="00280FFF">
        <w:rPr>
          <w:rFonts w:asciiTheme="minorHAnsi" w:hAnsiTheme="minorHAnsi" w:cstheme="minorHAnsi"/>
          <w:sz w:val="22"/>
          <w:szCs w:val="22"/>
        </w:rPr>
        <w:t>Akadeemilise eetika komisjoni põhimäärus</w:t>
      </w:r>
    </w:p>
    <w:p w14:paraId="79B49116" w14:textId="77777777" w:rsidR="00782927" w:rsidRPr="00782927" w:rsidRDefault="00782927" w:rsidP="00782927">
      <w:pPr>
        <w:pStyle w:val="Loetelu"/>
        <w:numPr>
          <w:ilvl w:val="0"/>
          <w:numId w:val="4"/>
        </w:numPr>
        <w:rPr>
          <w:rFonts w:asciiTheme="minorHAnsi" w:hAnsiTheme="minorHAnsi"/>
          <w:b/>
          <w:sz w:val="22"/>
          <w:szCs w:val="22"/>
        </w:rPr>
      </w:pPr>
      <w:proofErr w:type="spellStart"/>
      <w:r w:rsidRPr="00782927">
        <w:rPr>
          <w:rFonts w:asciiTheme="minorHAnsi" w:hAnsiTheme="minorHAnsi"/>
          <w:b/>
          <w:sz w:val="22"/>
          <w:szCs w:val="22"/>
        </w:rPr>
        <w:t>Üldsätted</w:t>
      </w:r>
      <w:proofErr w:type="spellEnd"/>
    </w:p>
    <w:p w14:paraId="1F2F02F1" w14:textId="3311DB31"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 xml:space="preserve">Akadeemilise eetika komisjon (edaspidi </w:t>
      </w:r>
      <w:r w:rsidRPr="00782927">
        <w:rPr>
          <w:rFonts w:asciiTheme="minorHAnsi" w:hAnsiTheme="minorHAnsi"/>
          <w:i/>
          <w:sz w:val="22"/>
          <w:szCs w:val="22"/>
        </w:rPr>
        <w:t>komisjon</w:t>
      </w:r>
      <w:r w:rsidRPr="00782927">
        <w:rPr>
          <w:rFonts w:asciiTheme="minorHAnsi" w:hAnsiTheme="minorHAnsi"/>
          <w:sz w:val="22"/>
          <w:szCs w:val="22"/>
        </w:rPr>
        <w:t xml:space="preserve">) on Tallinna Tehnikaülikooli (edaspidi </w:t>
      </w:r>
      <w:r w:rsidRPr="00782927">
        <w:rPr>
          <w:rFonts w:asciiTheme="minorHAnsi" w:hAnsiTheme="minorHAnsi"/>
          <w:i/>
          <w:sz w:val="22"/>
          <w:szCs w:val="22"/>
        </w:rPr>
        <w:t>ülikool</w:t>
      </w:r>
      <w:r w:rsidRPr="00782927">
        <w:rPr>
          <w:rFonts w:asciiTheme="minorHAnsi" w:hAnsiTheme="minorHAnsi"/>
          <w:sz w:val="22"/>
          <w:szCs w:val="22"/>
        </w:rPr>
        <w:t>) põhikirja §-i 14 alusel moodustatud kogu, mis lahendab ülikooli siseseid liikmeskonda kuuluvate isikute vahelisi akadeemilise eetika põhimõtete põhiseid vaidlusi, hindab teadusprojektide eetikanõuetele vastavust  ja arutab muid akadeemilise eetika küsimusi.</w:t>
      </w:r>
    </w:p>
    <w:p w14:paraId="69908B06" w14:textId="5B57D386" w:rsidR="00782927" w:rsidRPr="00782927" w:rsidRDefault="00BB1DBC" w:rsidP="00BB1DBC">
      <w:pPr>
        <w:pStyle w:val="Bodyt"/>
        <w:numPr>
          <w:ilvl w:val="1"/>
          <w:numId w:val="4"/>
        </w:numPr>
        <w:spacing w:before="80"/>
        <w:rPr>
          <w:rFonts w:asciiTheme="minorHAnsi" w:hAnsiTheme="minorHAnsi"/>
          <w:sz w:val="22"/>
          <w:szCs w:val="22"/>
        </w:rPr>
      </w:pPr>
      <w:r w:rsidRPr="00BB1DBC">
        <w:rPr>
          <w:rFonts w:asciiTheme="minorHAnsi" w:hAnsiTheme="minorHAnsi"/>
          <w:sz w:val="22"/>
          <w:szCs w:val="22"/>
        </w:rPr>
        <w:t>Komisjoni kuuluvad kõikide teaduskondade ja Eesti Mereakadeemia esindajad ning rektori poolt nimetatud viis liiget. Rektor esitab senatile kinnitamiseks teaduskondade ja Eesti Mereakadeemia poolt valitud esindajad ja rektori poolt nimetatavad liikmed. Rektor arvestab komisjoni liikmete nimetamisel komisjonile seatud väljakutseid ning komisjoni liikmete soolist ja ealist tasakaalu. Komisjoni liikme</w:t>
      </w:r>
      <w:r>
        <w:rPr>
          <w:rFonts w:asciiTheme="minorHAnsi" w:hAnsiTheme="minorHAnsi"/>
          <w:sz w:val="22"/>
          <w:szCs w:val="22"/>
        </w:rPr>
        <w:t xml:space="preserve"> volitused kestavad kolm aastat</w:t>
      </w:r>
      <w:r w:rsidR="00782927" w:rsidRPr="00782927">
        <w:rPr>
          <w:rFonts w:asciiTheme="minorHAnsi" w:hAnsiTheme="minorHAnsi"/>
          <w:sz w:val="22"/>
          <w:szCs w:val="22"/>
        </w:rPr>
        <w:t xml:space="preserve">. </w:t>
      </w:r>
      <w:r>
        <w:rPr>
          <w:rFonts w:asciiTheme="minorHAnsi" w:hAnsiTheme="minorHAnsi"/>
          <w:sz w:val="22"/>
          <w:szCs w:val="22"/>
        </w:rPr>
        <w:t>[jõustunud 18.03.2021]</w:t>
      </w:r>
      <w:bookmarkStart w:id="0" w:name="_GoBack"/>
      <w:bookmarkEnd w:id="0"/>
    </w:p>
    <w:p w14:paraId="69325D36" w14:textId="38B02A33" w:rsidR="00782927" w:rsidRPr="00C20E70"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 lähtub oma tegevuses seadustest, ülikooli põhikirjast, käesolevast põhimäärusest</w:t>
      </w:r>
      <w:r w:rsidR="001440EE">
        <w:rPr>
          <w:rFonts w:asciiTheme="minorHAnsi" w:hAnsiTheme="minorHAnsi"/>
          <w:sz w:val="22"/>
          <w:szCs w:val="22"/>
        </w:rPr>
        <w:t>, akadeemilise eetika põhimõtetest</w:t>
      </w:r>
      <w:r w:rsidRPr="00782927">
        <w:rPr>
          <w:rFonts w:asciiTheme="minorHAnsi" w:hAnsiTheme="minorHAnsi"/>
          <w:sz w:val="22"/>
          <w:szCs w:val="22"/>
        </w:rPr>
        <w:t xml:space="preserve"> ning akadeemilistest tavadest ja traditsioonides</w:t>
      </w:r>
      <w:r w:rsidR="002706B2">
        <w:rPr>
          <w:rFonts w:asciiTheme="minorHAnsi" w:hAnsiTheme="minorHAnsi"/>
          <w:sz w:val="22"/>
          <w:szCs w:val="22"/>
        </w:rPr>
        <w:t>t või väljendatud</w:t>
      </w:r>
      <w:r w:rsidR="002706B2" w:rsidRPr="002706B2">
        <w:rPr>
          <w:rFonts w:asciiTheme="minorHAnsi" w:hAnsiTheme="minorHAnsi"/>
          <w:color w:val="FFFF00"/>
          <w:sz w:val="22"/>
          <w:szCs w:val="22"/>
        </w:rPr>
        <w:t xml:space="preserve"> </w:t>
      </w:r>
      <w:r w:rsidR="002706B2" w:rsidRPr="00C20E70">
        <w:rPr>
          <w:rFonts w:asciiTheme="minorHAnsi" w:hAnsiTheme="minorHAnsi"/>
          <w:sz w:val="22"/>
          <w:szCs w:val="22"/>
        </w:rPr>
        <w:t>headest tavadest</w:t>
      </w:r>
      <w:r w:rsidRPr="00C20E70">
        <w:rPr>
          <w:rFonts w:asciiTheme="minorHAnsi" w:hAnsiTheme="minorHAnsi"/>
          <w:sz w:val="22"/>
          <w:szCs w:val="22"/>
        </w:rPr>
        <w:t>.</w:t>
      </w:r>
    </w:p>
    <w:p w14:paraId="4C2EE05F" w14:textId="77777777" w:rsidR="00782927" w:rsidRPr="00782927" w:rsidRDefault="00782927" w:rsidP="00782927">
      <w:pPr>
        <w:pStyle w:val="Loetelu"/>
        <w:numPr>
          <w:ilvl w:val="0"/>
          <w:numId w:val="4"/>
        </w:numPr>
        <w:rPr>
          <w:rFonts w:asciiTheme="minorHAnsi" w:hAnsiTheme="minorHAnsi"/>
          <w:b/>
          <w:sz w:val="22"/>
          <w:szCs w:val="22"/>
        </w:rPr>
      </w:pPr>
      <w:r w:rsidRPr="00782927">
        <w:rPr>
          <w:rFonts w:asciiTheme="minorHAnsi" w:hAnsiTheme="minorHAnsi"/>
          <w:b/>
          <w:sz w:val="22"/>
          <w:szCs w:val="22"/>
        </w:rPr>
        <w:t>Eesmärk ja ülesanded</w:t>
      </w:r>
    </w:p>
    <w:p w14:paraId="3D626ABD" w14:textId="08914330"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eesmär</w:t>
      </w:r>
      <w:r w:rsidR="006A15E0">
        <w:rPr>
          <w:rFonts w:asciiTheme="minorHAnsi" w:hAnsiTheme="minorHAnsi"/>
          <w:sz w:val="22"/>
          <w:szCs w:val="22"/>
        </w:rPr>
        <w:t>k</w:t>
      </w:r>
      <w:r w:rsidRPr="00782927">
        <w:rPr>
          <w:rFonts w:asciiTheme="minorHAnsi" w:hAnsiTheme="minorHAnsi"/>
          <w:sz w:val="22"/>
          <w:szCs w:val="22"/>
        </w:rPr>
        <w:t>i</w:t>
      </w:r>
      <w:r w:rsidR="006A15E0">
        <w:rPr>
          <w:rFonts w:asciiTheme="minorHAnsi" w:hAnsiTheme="minorHAnsi"/>
          <w:sz w:val="22"/>
          <w:szCs w:val="22"/>
        </w:rPr>
        <w:t>de</w:t>
      </w:r>
      <w:r w:rsidRPr="00782927">
        <w:rPr>
          <w:rFonts w:asciiTheme="minorHAnsi" w:hAnsiTheme="minorHAnsi"/>
          <w:sz w:val="22"/>
          <w:szCs w:val="22"/>
        </w:rPr>
        <w:t xml:space="preserve">ks on: </w:t>
      </w:r>
    </w:p>
    <w:p w14:paraId="03A5A06B" w14:textId="77777777" w:rsidR="00782927" w:rsidRPr="00782927" w:rsidRDefault="00782927" w:rsidP="00782927">
      <w:pPr>
        <w:pStyle w:val="Bodyt"/>
        <w:numPr>
          <w:ilvl w:val="2"/>
          <w:numId w:val="4"/>
        </w:numPr>
        <w:spacing w:before="80"/>
        <w:rPr>
          <w:rFonts w:asciiTheme="minorHAnsi" w:hAnsiTheme="minorHAnsi"/>
          <w:sz w:val="22"/>
          <w:szCs w:val="22"/>
        </w:rPr>
      </w:pPr>
      <w:r w:rsidRPr="00782927">
        <w:rPr>
          <w:rFonts w:asciiTheme="minorHAnsi" w:hAnsiTheme="minorHAnsi"/>
          <w:sz w:val="22"/>
          <w:szCs w:val="22"/>
        </w:rPr>
        <w:t>süvendada akadeemilise eetika väärtuste juurdumist akadeemiliste töötajate ja üliõpilaste hulgas nende teadus- ja õppetöös, samuti suhtluses nii omavahel kui teiste töötajatega, avalikkuse ja välispartneritega;</w:t>
      </w:r>
    </w:p>
    <w:p w14:paraId="0407CE7D" w14:textId="03F54355" w:rsidR="00782927" w:rsidRPr="00782927" w:rsidRDefault="00782927" w:rsidP="00782927">
      <w:pPr>
        <w:pStyle w:val="Bodyt"/>
        <w:numPr>
          <w:ilvl w:val="2"/>
          <w:numId w:val="4"/>
        </w:numPr>
        <w:spacing w:before="80"/>
        <w:rPr>
          <w:rFonts w:asciiTheme="minorHAnsi" w:hAnsiTheme="minorHAnsi"/>
          <w:sz w:val="22"/>
          <w:szCs w:val="22"/>
        </w:rPr>
      </w:pPr>
      <w:r w:rsidRPr="00782927">
        <w:rPr>
          <w:rFonts w:asciiTheme="minorHAnsi" w:hAnsiTheme="minorHAnsi"/>
          <w:sz w:val="22"/>
          <w:szCs w:val="22"/>
        </w:rPr>
        <w:t>hin</w:t>
      </w:r>
      <w:r w:rsidR="006A15E0">
        <w:rPr>
          <w:rFonts w:asciiTheme="minorHAnsi" w:hAnsiTheme="minorHAnsi"/>
          <w:sz w:val="22"/>
          <w:szCs w:val="22"/>
        </w:rPr>
        <w:t>nata</w:t>
      </w:r>
      <w:r w:rsidRPr="00782927">
        <w:rPr>
          <w:rFonts w:asciiTheme="minorHAnsi" w:hAnsiTheme="minorHAnsi"/>
          <w:sz w:val="22"/>
          <w:szCs w:val="22"/>
        </w:rPr>
        <w:t xml:space="preserve"> teadus</w:t>
      </w:r>
      <w:r w:rsidR="00C65F2B">
        <w:rPr>
          <w:rFonts w:asciiTheme="minorHAnsi" w:hAnsiTheme="minorHAnsi"/>
          <w:sz w:val="22"/>
          <w:szCs w:val="22"/>
        </w:rPr>
        <w:t>- ja arendus</w:t>
      </w:r>
      <w:r w:rsidRPr="00782927">
        <w:rPr>
          <w:rFonts w:asciiTheme="minorHAnsi" w:hAnsiTheme="minorHAnsi"/>
          <w:sz w:val="22"/>
          <w:szCs w:val="22"/>
        </w:rPr>
        <w:t xml:space="preserve">projektide </w:t>
      </w:r>
      <w:r w:rsidR="00C65F2B">
        <w:rPr>
          <w:rFonts w:asciiTheme="minorHAnsi" w:hAnsiTheme="minorHAnsi"/>
          <w:sz w:val="22"/>
          <w:szCs w:val="22"/>
        </w:rPr>
        <w:t xml:space="preserve">taotluste </w:t>
      </w:r>
      <w:r w:rsidRPr="00782927">
        <w:rPr>
          <w:rFonts w:asciiTheme="minorHAnsi" w:hAnsiTheme="minorHAnsi"/>
          <w:sz w:val="22"/>
          <w:szCs w:val="22"/>
        </w:rPr>
        <w:t>eetikanõuetele vastavust.</w:t>
      </w:r>
    </w:p>
    <w:p w14:paraId="3A894BEE"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ülesanneteks  akadeemilise eetika küsimustes on:</w:t>
      </w:r>
    </w:p>
    <w:p w14:paraId="4032BDFB"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anda põhjendatud ja õiglane arvamus talle esitatud vaidluse, küsimuse või probleemi kohta;</w:t>
      </w:r>
    </w:p>
    <w:p w14:paraId="75AF1BD3"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aidata kaasa lahenduste leidmisele, lähtudes eetilistest põhiprintsiipidest.</w:t>
      </w:r>
    </w:p>
    <w:p w14:paraId="59CB5F18" w14:textId="29371580" w:rsidR="006A15E0" w:rsidRDefault="00782927" w:rsidP="006A15E0">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 xml:space="preserve">vajadusel teha rektorile ettepanekuid akadeemilise töötaja või üliõpilase kohta nende poolt ebaeetilise teo toimepanemisel. </w:t>
      </w:r>
    </w:p>
    <w:p w14:paraId="41408D3E" w14:textId="19339EBD" w:rsidR="009D42CF" w:rsidRDefault="009D42CF" w:rsidP="00A53FFF">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 xml:space="preserve">hinnata ülikooli liikmete poolt taotletavate teadus- ja </w:t>
      </w:r>
      <w:r w:rsidRPr="00FC314F">
        <w:rPr>
          <w:rFonts w:asciiTheme="minorHAnsi" w:hAnsiTheme="minorHAnsi"/>
          <w:sz w:val="22"/>
          <w:szCs w:val="22"/>
        </w:rPr>
        <w:t>arendusprojektide</w:t>
      </w:r>
      <w:r w:rsidRPr="00782927">
        <w:rPr>
          <w:rFonts w:asciiTheme="minorHAnsi" w:hAnsiTheme="minorHAnsi"/>
          <w:sz w:val="22"/>
          <w:szCs w:val="22"/>
        </w:rPr>
        <w:t xml:space="preserve"> </w:t>
      </w:r>
      <w:r w:rsidR="00641538">
        <w:rPr>
          <w:rFonts w:asciiTheme="minorHAnsi" w:hAnsiTheme="minorHAnsi"/>
          <w:sz w:val="22"/>
          <w:szCs w:val="22"/>
        </w:rPr>
        <w:t>oluliste</w:t>
      </w:r>
      <w:r w:rsidR="00077623">
        <w:rPr>
          <w:rFonts w:asciiTheme="minorHAnsi" w:hAnsiTheme="minorHAnsi"/>
          <w:sz w:val="22"/>
          <w:szCs w:val="22"/>
        </w:rPr>
        <w:t xml:space="preserve"> elementide </w:t>
      </w:r>
      <w:r w:rsidRPr="00C20E70">
        <w:rPr>
          <w:rFonts w:asciiTheme="minorHAnsi" w:hAnsiTheme="minorHAnsi"/>
          <w:sz w:val="22"/>
          <w:szCs w:val="22"/>
        </w:rPr>
        <w:t xml:space="preserve">vastavust teaduseetika põhimõtetele. Komisjon ei hinda </w:t>
      </w:r>
      <w:proofErr w:type="spellStart"/>
      <w:r w:rsidRPr="00C20E70">
        <w:rPr>
          <w:rFonts w:asciiTheme="minorHAnsi" w:hAnsiTheme="minorHAnsi"/>
          <w:sz w:val="22"/>
          <w:szCs w:val="22"/>
        </w:rPr>
        <w:t>inimuuringutega</w:t>
      </w:r>
      <w:proofErr w:type="spellEnd"/>
      <w:r w:rsidRPr="00C20E70">
        <w:rPr>
          <w:rFonts w:asciiTheme="minorHAnsi" w:hAnsiTheme="minorHAnsi"/>
          <w:sz w:val="22"/>
          <w:szCs w:val="22"/>
        </w:rPr>
        <w:t xml:space="preserve"> </w:t>
      </w:r>
      <w:r w:rsidR="002706B2" w:rsidRPr="00C20E70">
        <w:rPr>
          <w:rFonts w:asciiTheme="minorHAnsi" w:hAnsiTheme="minorHAnsi"/>
          <w:sz w:val="22"/>
          <w:szCs w:val="22"/>
        </w:rPr>
        <w:t xml:space="preserve">ja loomuuringutega </w:t>
      </w:r>
      <w:r w:rsidR="00641538" w:rsidRPr="00C20E70">
        <w:rPr>
          <w:rFonts w:asciiTheme="minorHAnsi" w:hAnsiTheme="minorHAnsi"/>
          <w:sz w:val="22"/>
          <w:szCs w:val="22"/>
        </w:rPr>
        <w:t xml:space="preserve">(millega võib kaasneda oht inimeste vaimsele või füüsilisele tervisele) </w:t>
      </w:r>
      <w:r w:rsidRPr="00C20E70">
        <w:rPr>
          <w:rFonts w:asciiTheme="minorHAnsi" w:hAnsiTheme="minorHAnsi"/>
          <w:sz w:val="22"/>
          <w:szCs w:val="22"/>
        </w:rPr>
        <w:t xml:space="preserve">seotud </w:t>
      </w:r>
      <w:r w:rsidR="00A53FFF" w:rsidRPr="00C20E70">
        <w:rPr>
          <w:rFonts w:asciiTheme="minorHAnsi" w:hAnsiTheme="minorHAnsi"/>
          <w:sz w:val="22"/>
          <w:szCs w:val="22"/>
        </w:rPr>
        <w:t xml:space="preserve">projektide vastavust teaduseetika </w:t>
      </w:r>
      <w:r w:rsidR="00A53FFF" w:rsidRPr="00A53FFF">
        <w:rPr>
          <w:rFonts w:asciiTheme="minorHAnsi" w:hAnsiTheme="minorHAnsi"/>
          <w:sz w:val="22"/>
          <w:szCs w:val="22"/>
        </w:rPr>
        <w:t>põhimõtetele</w:t>
      </w:r>
      <w:r w:rsidRPr="00782927">
        <w:rPr>
          <w:rFonts w:asciiTheme="minorHAnsi" w:hAnsiTheme="minorHAnsi"/>
          <w:sz w:val="22"/>
          <w:szCs w:val="22"/>
        </w:rPr>
        <w:t>.</w:t>
      </w:r>
    </w:p>
    <w:p w14:paraId="6A0BF5DB" w14:textId="6F1BE1D6" w:rsidR="006A15E0" w:rsidRPr="00782927" w:rsidDel="001B4679" w:rsidRDefault="006A15E0" w:rsidP="006A15E0">
      <w:pPr>
        <w:pStyle w:val="Bodyt"/>
        <w:numPr>
          <w:ilvl w:val="1"/>
          <w:numId w:val="4"/>
        </w:numPr>
        <w:spacing w:before="80"/>
        <w:rPr>
          <w:rFonts w:asciiTheme="minorHAnsi" w:hAnsiTheme="minorHAnsi"/>
          <w:sz w:val="22"/>
          <w:szCs w:val="22"/>
        </w:rPr>
      </w:pPr>
      <w:r w:rsidRPr="00782927" w:rsidDel="001B4679">
        <w:rPr>
          <w:rFonts w:asciiTheme="minorHAnsi" w:hAnsiTheme="minorHAnsi"/>
          <w:sz w:val="22"/>
          <w:szCs w:val="22"/>
        </w:rPr>
        <w:t>Komisjon arutab järgmisi akadeemilise eetika juhtumeid:</w:t>
      </w:r>
    </w:p>
    <w:p w14:paraId="67E3C01A" w14:textId="77777777" w:rsidR="006A15E0" w:rsidRPr="00782927" w:rsidDel="001B4679" w:rsidRDefault="006A15E0" w:rsidP="006A15E0">
      <w:pPr>
        <w:pStyle w:val="Bodyt1"/>
        <w:numPr>
          <w:ilvl w:val="2"/>
          <w:numId w:val="4"/>
        </w:numPr>
        <w:spacing w:after="0"/>
        <w:rPr>
          <w:rFonts w:asciiTheme="minorHAnsi" w:hAnsiTheme="minorHAnsi"/>
          <w:sz w:val="22"/>
          <w:szCs w:val="22"/>
        </w:rPr>
      </w:pPr>
      <w:r w:rsidRPr="00782927" w:rsidDel="001B4679">
        <w:rPr>
          <w:rFonts w:asciiTheme="minorHAnsi" w:hAnsiTheme="minorHAnsi"/>
          <w:sz w:val="22"/>
          <w:szCs w:val="22"/>
        </w:rPr>
        <w:t xml:space="preserve">akadeemilise eetika </w:t>
      </w:r>
      <w:r w:rsidRPr="00782927">
        <w:rPr>
          <w:rFonts w:asciiTheme="minorHAnsi" w:hAnsiTheme="minorHAnsi"/>
          <w:sz w:val="22"/>
          <w:szCs w:val="22"/>
        </w:rPr>
        <w:t>põhimõtete</w:t>
      </w:r>
      <w:r w:rsidRPr="00782927" w:rsidDel="001B4679">
        <w:rPr>
          <w:rFonts w:asciiTheme="minorHAnsi" w:hAnsiTheme="minorHAnsi"/>
          <w:sz w:val="22"/>
          <w:szCs w:val="22"/>
        </w:rPr>
        <w:t xml:space="preserve"> ja akadeemilist käitumist kirjeldavate heade tavade rikkumised;</w:t>
      </w:r>
    </w:p>
    <w:p w14:paraId="274D94B7" w14:textId="77777777" w:rsidR="006A15E0" w:rsidRPr="00782927" w:rsidDel="001B4679" w:rsidRDefault="006A15E0" w:rsidP="006A15E0">
      <w:pPr>
        <w:pStyle w:val="Bodyt1"/>
        <w:numPr>
          <w:ilvl w:val="2"/>
          <w:numId w:val="4"/>
        </w:numPr>
        <w:spacing w:after="0"/>
        <w:rPr>
          <w:rFonts w:asciiTheme="minorHAnsi" w:hAnsiTheme="minorHAnsi"/>
          <w:sz w:val="22"/>
          <w:szCs w:val="22"/>
        </w:rPr>
      </w:pPr>
      <w:r w:rsidRPr="00782927" w:rsidDel="001B4679">
        <w:rPr>
          <w:rFonts w:asciiTheme="minorHAnsi" w:hAnsiTheme="minorHAnsi"/>
          <w:sz w:val="22"/>
          <w:szCs w:val="22"/>
        </w:rPr>
        <w:t xml:space="preserve">muud akadeemilist eetikat puudutavad küsimused, mida komisjon peab vajalikuks või milles </w:t>
      </w:r>
      <w:r w:rsidRPr="00782927">
        <w:rPr>
          <w:rFonts w:asciiTheme="minorHAnsi" w:hAnsiTheme="minorHAnsi"/>
          <w:sz w:val="22"/>
          <w:szCs w:val="22"/>
        </w:rPr>
        <w:t>senat</w:t>
      </w:r>
      <w:r w:rsidRPr="00782927" w:rsidDel="001B4679">
        <w:rPr>
          <w:rFonts w:asciiTheme="minorHAnsi" w:hAnsiTheme="minorHAnsi"/>
          <w:sz w:val="22"/>
          <w:szCs w:val="22"/>
        </w:rPr>
        <w:t xml:space="preserve"> või rektor peab vajalikuks komisjoni poole pöörduda.</w:t>
      </w:r>
    </w:p>
    <w:p w14:paraId="24784655" w14:textId="25862202" w:rsidR="00735769" w:rsidRPr="00C20E70" w:rsidRDefault="00782927" w:rsidP="00735769">
      <w:pPr>
        <w:pStyle w:val="Bodyt1"/>
        <w:numPr>
          <w:ilvl w:val="1"/>
          <w:numId w:val="4"/>
        </w:numPr>
        <w:spacing w:after="0"/>
        <w:rPr>
          <w:rFonts w:asciiTheme="minorHAnsi" w:hAnsiTheme="minorHAnsi"/>
          <w:sz w:val="22"/>
          <w:szCs w:val="22"/>
        </w:rPr>
      </w:pPr>
      <w:r w:rsidRPr="00C20E70">
        <w:rPr>
          <w:rFonts w:asciiTheme="minorHAnsi" w:hAnsiTheme="minorHAnsi"/>
          <w:sz w:val="22"/>
          <w:szCs w:val="22"/>
        </w:rPr>
        <w:t>Komisjon annab teadusprojektidele eetilisuse küsimuses kooskõlastuse</w:t>
      </w:r>
      <w:r w:rsidR="0044213C" w:rsidRPr="00C20E70">
        <w:rPr>
          <w:rFonts w:asciiTheme="minorHAnsi" w:hAnsiTheme="minorHAnsi"/>
          <w:sz w:val="22"/>
          <w:szCs w:val="22"/>
        </w:rPr>
        <w:t xml:space="preserve"> või hinnangu</w:t>
      </w:r>
      <w:r w:rsidRPr="00C20E70">
        <w:rPr>
          <w:rFonts w:asciiTheme="minorHAnsi" w:hAnsiTheme="minorHAnsi"/>
          <w:sz w:val="22"/>
          <w:szCs w:val="22"/>
        </w:rPr>
        <w:t xml:space="preserve">. Juhul, kui leitakse vastuolu teaduseetika põhimõtetega, edastab komisjon taotlejale põhjendatud arvamuse. </w:t>
      </w:r>
    </w:p>
    <w:p w14:paraId="6598D240" w14:textId="77777777" w:rsidR="00782927" w:rsidRPr="00782927" w:rsidRDefault="00782927" w:rsidP="00782927">
      <w:pPr>
        <w:pStyle w:val="Loetelu"/>
        <w:keepNext/>
        <w:numPr>
          <w:ilvl w:val="0"/>
          <w:numId w:val="4"/>
        </w:numPr>
        <w:rPr>
          <w:rFonts w:asciiTheme="minorHAnsi" w:hAnsiTheme="minorHAnsi"/>
          <w:b/>
          <w:sz w:val="22"/>
          <w:szCs w:val="22"/>
        </w:rPr>
      </w:pPr>
      <w:r w:rsidRPr="00782927">
        <w:rPr>
          <w:rFonts w:asciiTheme="minorHAnsi" w:hAnsiTheme="minorHAnsi"/>
          <w:b/>
          <w:sz w:val="22"/>
          <w:szCs w:val="22"/>
        </w:rPr>
        <w:t xml:space="preserve">Liikme õigused ja kohustused </w:t>
      </w:r>
    </w:p>
    <w:p w14:paraId="32C6C91A"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liikmel on õigus:</w:t>
      </w:r>
    </w:p>
    <w:p w14:paraId="0F1DBAD9"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tutvuda kõigi asjas tähtsust omavate materjalidega;</w:t>
      </w:r>
    </w:p>
    <w:p w14:paraId="0295C67E"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küsida ülikooli liikmeskonnalt asjaolude kohta suulisi ja kirjalikke seletusi;</w:t>
      </w:r>
    </w:p>
    <w:p w14:paraId="46EC70F7"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kasutada avaliku juurdepääsuga dokumente ja infoallikaid;</w:t>
      </w:r>
    </w:p>
    <w:p w14:paraId="77B69F7A"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saada ülikoolilt enda ülesannete täitmiseks vajalikku aega ja vara;</w:t>
      </w:r>
    </w:p>
    <w:p w14:paraId="341103CE"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liikmel on kohustus:</w:t>
      </w:r>
    </w:p>
    <w:p w14:paraId="0BCBD2AD"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kujundada enda arvamus erapooletult, sõltumatult ja objektiivselt;</w:t>
      </w:r>
    </w:p>
    <w:p w14:paraId="255DEC59"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taandada ennast huvide konflikti korral asja arutamisest;</w:t>
      </w:r>
    </w:p>
    <w:p w14:paraId="1F40E056" w14:textId="77777777" w:rsidR="00782927" w:rsidRPr="00782927" w:rsidRDefault="00782927" w:rsidP="00782927">
      <w:pPr>
        <w:pStyle w:val="Bodyt1"/>
        <w:numPr>
          <w:ilvl w:val="2"/>
          <w:numId w:val="4"/>
        </w:numPr>
        <w:spacing w:after="0"/>
        <w:rPr>
          <w:rFonts w:asciiTheme="minorHAnsi" w:hAnsiTheme="minorHAnsi"/>
          <w:sz w:val="22"/>
          <w:szCs w:val="22"/>
        </w:rPr>
      </w:pPr>
      <w:r w:rsidRPr="00782927">
        <w:rPr>
          <w:rFonts w:asciiTheme="minorHAnsi" w:hAnsiTheme="minorHAnsi"/>
          <w:sz w:val="22"/>
          <w:szCs w:val="22"/>
        </w:rPr>
        <w:t>mitte avalikustada vaidluse või hindamise käigus teatavaks saanud isikuandmeid,  teadusprojektide eesmärke ja metoodikat või muud konfidentsiaalset teavet.</w:t>
      </w:r>
    </w:p>
    <w:p w14:paraId="16EAFA18" w14:textId="77777777" w:rsidR="00782927" w:rsidRPr="00782927" w:rsidRDefault="00782927" w:rsidP="00782927">
      <w:pPr>
        <w:pStyle w:val="Loetelu"/>
        <w:keepNext/>
        <w:numPr>
          <w:ilvl w:val="0"/>
          <w:numId w:val="4"/>
        </w:numPr>
        <w:rPr>
          <w:rFonts w:asciiTheme="minorHAnsi" w:hAnsiTheme="minorHAnsi"/>
          <w:b/>
          <w:sz w:val="22"/>
          <w:szCs w:val="22"/>
        </w:rPr>
      </w:pPr>
      <w:r w:rsidRPr="00782927">
        <w:rPr>
          <w:rFonts w:asciiTheme="minorHAnsi" w:hAnsiTheme="minorHAnsi"/>
          <w:b/>
          <w:sz w:val="22"/>
          <w:szCs w:val="22"/>
        </w:rPr>
        <w:lastRenderedPageBreak/>
        <w:t>Töökord ja otsused</w:t>
      </w:r>
    </w:p>
    <w:p w14:paraId="4F891CB2"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tegevust juhib ja tööd korraldab esimees, kelle valivad komisjoni liikmed endi seast lihthäälteenamusega.</w:t>
      </w:r>
    </w:p>
    <w:p w14:paraId="5A1EB86C" w14:textId="64FFCE80" w:rsid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asjaajamist korraldab ja koosolekuid protokollib sekretär, kelle nimetab rektor komisjoni esimehe ettepanekul.</w:t>
      </w:r>
    </w:p>
    <w:p w14:paraId="158132A8" w14:textId="77777777" w:rsidR="00503452" w:rsidRPr="00503452" w:rsidRDefault="00503452" w:rsidP="00503452">
      <w:pPr>
        <w:pStyle w:val="ListParagraph"/>
        <w:numPr>
          <w:ilvl w:val="1"/>
          <w:numId w:val="4"/>
        </w:numPr>
        <w:rPr>
          <w:rFonts w:asciiTheme="minorHAnsi" w:hAnsiTheme="minorHAnsi"/>
          <w:sz w:val="22"/>
          <w:szCs w:val="22"/>
        </w:rPr>
      </w:pPr>
      <w:r w:rsidRPr="00503452">
        <w:rPr>
          <w:rFonts w:asciiTheme="minorHAnsi" w:hAnsiTheme="minorHAnsi"/>
          <w:sz w:val="22"/>
          <w:szCs w:val="22"/>
        </w:rPr>
        <w:t xml:space="preserve">Komisjon kaasab teadusuuringute hindamisse vajadusel teadusosakonna esindaja, teadus- ja arendustegevuse valdkonna juristi,  andmekaitse voliniku ja teisi ülikooli liikmeskonda kuuluvaid isikuid ning valdkonna tunnustatud eksperte. </w:t>
      </w:r>
    </w:p>
    <w:p w14:paraId="6795E651"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 arutab asju koosolekul või muus esimehe määratud vormis.</w:t>
      </w:r>
    </w:p>
    <w:p w14:paraId="7CB19E85"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koosolekud on kinnised. Komisjon võib otsustada avaliku koosoleku korraldamise, kui küsimus puudutab laiemat avalikkust ja sellega ei rikuta isikute õigusi eraelu kaitsele ega saladuse hoidmise kohustust.</w:t>
      </w:r>
    </w:p>
    <w:p w14:paraId="451B4023"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 xml:space="preserve">Komisjon on otsustusvõimeline, kui asja arutamisest võtab osa enamus komisjoni liikmetest. </w:t>
      </w:r>
    </w:p>
    <w:p w14:paraId="4178673D"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arvamuse ja ettepaneku vastuvõtmiseks on vajalik asja arutamisest osa võtnud komisjoni liikmete lihthäälteenamus. Komisjoni arvamus ja ettepanek protokollitakse.</w:t>
      </w:r>
    </w:p>
    <w:p w14:paraId="431D77E9" w14:textId="77777777"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 xml:space="preserve">Komisjoni liige taandab end otsustusprotsessist juhul, kui arutatakse tema või tema uurimisrühmaga seotud küsimusi. </w:t>
      </w:r>
    </w:p>
    <w:p w14:paraId="5C8DFCEF" w14:textId="013E7364"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 xml:space="preserve">Komisjon esitab arvamuse </w:t>
      </w:r>
      <w:r w:rsidR="009D42CF">
        <w:rPr>
          <w:rFonts w:asciiTheme="minorHAnsi" w:hAnsiTheme="minorHAnsi"/>
          <w:sz w:val="22"/>
          <w:szCs w:val="22"/>
        </w:rPr>
        <w:t xml:space="preserve">või </w:t>
      </w:r>
      <w:r w:rsidR="00641538">
        <w:rPr>
          <w:rFonts w:asciiTheme="minorHAnsi" w:hAnsiTheme="minorHAnsi"/>
          <w:sz w:val="22"/>
          <w:szCs w:val="22"/>
        </w:rPr>
        <w:t xml:space="preserve">hinnangu </w:t>
      </w:r>
      <w:r w:rsidR="009D42CF">
        <w:rPr>
          <w:rFonts w:asciiTheme="minorHAnsi" w:hAnsiTheme="minorHAnsi"/>
          <w:sz w:val="22"/>
          <w:szCs w:val="22"/>
        </w:rPr>
        <w:t xml:space="preserve">teadusuuringule </w:t>
      </w:r>
      <w:r w:rsidRPr="00782927">
        <w:rPr>
          <w:rFonts w:asciiTheme="minorHAnsi" w:hAnsiTheme="minorHAnsi"/>
          <w:sz w:val="22"/>
          <w:szCs w:val="22"/>
        </w:rPr>
        <w:t>reeglina ühe kuu jooksul.</w:t>
      </w:r>
    </w:p>
    <w:p w14:paraId="4E2D4E1E" w14:textId="77777777" w:rsidR="00782927" w:rsidRPr="00782927" w:rsidRDefault="00782927" w:rsidP="00782927">
      <w:pPr>
        <w:pStyle w:val="Loetelu"/>
        <w:keepNext/>
        <w:numPr>
          <w:ilvl w:val="0"/>
          <w:numId w:val="4"/>
        </w:numPr>
        <w:rPr>
          <w:rFonts w:asciiTheme="minorHAnsi" w:hAnsiTheme="minorHAnsi"/>
          <w:b/>
          <w:sz w:val="22"/>
          <w:szCs w:val="22"/>
        </w:rPr>
      </w:pPr>
      <w:r w:rsidRPr="00782927">
        <w:rPr>
          <w:rFonts w:asciiTheme="minorHAnsi" w:hAnsiTheme="minorHAnsi"/>
          <w:b/>
          <w:sz w:val="22"/>
          <w:szCs w:val="22"/>
        </w:rPr>
        <w:t>Asja menetlemine</w:t>
      </w:r>
    </w:p>
    <w:p w14:paraId="3B1AA0F4" w14:textId="53DD6C3D"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 xml:space="preserve">Komisjoni võib pöörduda ülikooli juhtorgan, akadeemiline struktuuriüksus, töötaja või üliõpilane, esitades kirjaliku avalduse. </w:t>
      </w:r>
    </w:p>
    <w:p w14:paraId="079D7222" w14:textId="1C56A380"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 võtab asja arutamiseks, kui asi puudutab akadeemilist eetikat või teadus</w:t>
      </w:r>
      <w:r w:rsidR="00FE3002">
        <w:rPr>
          <w:rFonts w:asciiTheme="minorHAnsi" w:hAnsiTheme="minorHAnsi"/>
          <w:sz w:val="22"/>
          <w:szCs w:val="22"/>
        </w:rPr>
        <w:t>- ja arendusprojektide taotluste eetilisi</w:t>
      </w:r>
      <w:r w:rsidR="00FE3002" w:rsidRPr="00782927">
        <w:rPr>
          <w:rFonts w:asciiTheme="minorHAnsi" w:hAnsiTheme="minorHAnsi"/>
          <w:sz w:val="22"/>
          <w:szCs w:val="22"/>
        </w:rPr>
        <w:t xml:space="preserve"> </w:t>
      </w:r>
      <w:r w:rsidRPr="00782927">
        <w:rPr>
          <w:rFonts w:asciiTheme="minorHAnsi" w:hAnsiTheme="minorHAnsi"/>
          <w:sz w:val="22"/>
          <w:szCs w:val="22"/>
        </w:rPr>
        <w:t>aspekte ja avaldus on esitatud vastavuses käesoleva põhimäärusega. Avalduse arutamisest keeldumine peab olema põhjendatud.</w:t>
      </w:r>
    </w:p>
    <w:p w14:paraId="3E302C63" w14:textId="42CB1D52"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 xml:space="preserve">Komisjon ei võta asja arutamisele, kui see ei kuulu komisjoni pädevusse või punktis 2.1.1. käsitletavat asja ei ole eelnevalt arutatud </w:t>
      </w:r>
      <w:r w:rsidR="00482F03">
        <w:rPr>
          <w:rFonts w:asciiTheme="minorHAnsi" w:hAnsiTheme="minorHAnsi"/>
          <w:sz w:val="22"/>
          <w:szCs w:val="22"/>
        </w:rPr>
        <w:t>asjasse puutuva ülikooli</w:t>
      </w:r>
      <w:r w:rsidR="00482F03" w:rsidRPr="00782927">
        <w:rPr>
          <w:rFonts w:asciiTheme="minorHAnsi" w:hAnsiTheme="minorHAnsi"/>
          <w:sz w:val="22"/>
          <w:szCs w:val="22"/>
        </w:rPr>
        <w:t xml:space="preserve"> </w:t>
      </w:r>
      <w:r w:rsidRPr="00782927">
        <w:rPr>
          <w:rFonts w:asciiTheme="minorHAnsi" w:hAnsiTheme="minorHAnsi"/>
          <w:sz w:val="22"/>
          <w:szCs w:val="22"/>
        </w:rPr>
        <w:t xml:space="preserve">struktuuriüksuse tasandil. </w:t>
      </w:r>
    </w:p>
    <w:p w14:paraId="5923A7FB" w14:textId="0BAC21F4" w:rsidR="00782927" w:rsidRPr="00782927" w:rsidRDefault="00782927" w:rsidP="00782927">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Akadeemilise vaidluse korral arutatakse asja poolte või nende esindajate juuresolekul, kui komisjon ei otsusta teisiti. Komisjoni arvamus või ettepanek edastatakse asjaosalistele</w:t>
      </w:r>
      <w:r w:rsidR="00FE3002">
        <w:rPr>
          <w:rFonts w:asciiTheme="minorHAnsi" w:hAnsiTheme="minorHAnsi"/>
          <w:sz w:val="22"/>
          <w:szCs w:val="22"/>
        </w:rPr>
        <w:t xml:space="preserve"> ja vajadusel </w:t>
      </w:r>
      <w:r w:rsidR="007C26D5">
        <w:rPr>
          <w:rFonts w:asciiTheme="minorHAnsi" w:hAnsiTheme="minorHAnsi"/>
          <w:sz w:val="22"/>
          <w:szCs w:val="22"/>
        </w:rPr>
        <w:t xml:space="preserve">ülikooli </w:t>
      </w:r>
      <w:r w:rsidR="00FE3002">
        <w:rPr>
          <w:rFonts w:asciiTheme="minorHAnsi" w:hAnsiTheme="minorHAnsi"/>
          <w:sz w:val="22"/>
          <w:szCs w:val="22"/>
        </w:rPr>
        <w:t>juhtkonnale</w:t>
      </w:r>
      <w:r w:rsidRPr="00782927">
        <w:rPr>
          <w:rFonts w:asciiTheme="minorHAnsi" w:hAnsiTheme="minorHAnsi"/>
          <w:sz w:val="22"/>
          <w:szCs w:val="22"/>
        </w:rPr>
        <w:t>.</w:t>
      </w:r>
    </w:p>
    <w:p w14:paraId="47F0361A" w14:textId="77777777" w:rsidR="00C07FFC" w:rsidRPr="00782927" w:rsidRDefault="00782927" w:rsidP="0057229F">
      <w:pPr>
        <w:pStyle w:val="Bodyt"/>
        <w:numPr>
          <w:ilvl w:val="1"/>
          <w:numId w:val="4"/>
        </w:numPr>
        <w:spacing w:before="80"/>
        <w:rPr>
          <w:rFonts w:asciiTheme="minorHAnsi" w:hAnsiTheme="minorHAnsi"/>
          <w:sz w:val="22"/>
          <w:szCs w:val="22"/>
        </w:rPr>
      </w:pPr>
      <w:r w:rsidRPr="00782927">
        <w:rPr>
          <w:rFonts w:asciiTheme="minorHAnsi" w:hAnsiTheme="minorHAnsi"/>
          <w:sz w:val="22"/>
          <w:szCs w:val="22"/>
        </w:rPr>
        <w:t>Komisjoni esimees annab senatile ülevaate komisjoni tegevusest või vastab küsimustele üks kord aastas või vähemalt kümne senati liikme soovil.</w:t>
      </w:r>
    </w:p>
    <w:sectPr w:rsidR="00C07FFC" w:rsidRPr="00782927" w:rsidSect="0057229F">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8201" w14:textId="77777777" w:rsidR="00FC32D1" w:rsidRDefault="00FC32D1">
      <w:r>
        <w:separator/>
      </w:r>
    </w:p>
  </w:endnote>
  <w:endnote w:type="continuationSeparator" w:id="0">
    <w:p w14:paraId="72B36F2B" w14:textId="77777777" w:rsidR="00FC32D1" w:rsidRDefault="00FC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EEB8" w14:textId="77777777" w:rsidR="00E24660"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40560" w14:textId="77777777" w:rsidR="00E24660" w:rsidRDefault="00BB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DBCF" w14:textId="77777777" w:rsidR="00FC32D1" w:rsidRDefault="00FC32D1">
      <w:r>
        <w:separator/>
      </w:r>
    </w:p>
  </w:footnote>
  <w:footnote w:type="continuationSeparator" w:id="0">
    <w:p w14:paraId="0F7D272E" w14:textId="77777777" w:rsidR="00FC32D1" w:rsidRDefault="00FC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D8" w14:textId="77777777" w:rsidR="00E24660"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A868B7" w14:textId="77777777" w:rsidR="00E24660" w:rsidRDefault="00BB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10200"/>
      <w:docPartObj>
        <w:docPartGallery w:val="Page Numbers (Top of Page)"/>
        <w:docPartUnique/>
      </w:docPartObj>
    </w:sdtPr>
    <w:sdtEndPr/>
    <w:sdtContent>
      <w:p w14:paraId="6CFDDE85" w14:textId="7947D017" w:rsidR="0057229F" w:rsidRDefault="0057229F">
        <w:pPr>
          <w:pStyle w:val="Header"/>
          <w:jc w:val="center"/>
        </w:pPr>
        <w:r>
          <w:fldChar w:fldCharType="begin"/>
        </w:r>
        <w:r>
          <w:instrText>PAGE   \* MERGEFORMAT</w:instrText>
        </w:r>
        <w:r>
          <w:fldChar w:fldCharType="separate"/>
        </w:r>
        <w:r w:rsidR="00BB1DBC">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2286D794"/>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5"/>
  </w:num>
  <w:num w:numId="3">
    <w:abstractNumId w:val="0"/>
  </w:num>
  <w:num w:numId="4">
    <w:abstractNumId w:val="1"/>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662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3F"/>
    <w:rsid w:val="00001DF1"/>
    <w:rsid w:val="00077623"/>
    <w:rsid w:val="00087329"/>
    <w:rsid w:val="000A52ED"/>
    <w:rsid w:val="0014041B"/>
    <w:rsid w:val="001440EE"/>
    <w:rsid w:val="001758A1"/>
    <w:rsid w:val="001D05E5"/>
    <w:rsid w:val="001E02F9"/>
    <w:rsid w:val="001E7223"/>
    <w:rsid w:val="001F21B8"/>
    <w:rsid w:val="00203A79"/>
    <w:rsid w:val="00207D15"/>
    <w:rsid w:val="002216AF"/>
    <w:rsid w:val="002706B2"/>
    <w:rsid w:val="00276CFC"/>
    <w:rsid w:val="00280FFF"/>
    <w:rsid w:val="0029000F"/>
    <w:rsid w:val="002C4618"/>
    <w:rsid w:val="002C6001"/>
    <w:rsid w:val="002D793C"/>
    <w:rsid w:val="002D7CFF"/>
    <w:rsid w:val="00316C57"/>
    <w:rsid w:val="0037527E"/>
    <w:rsid w:val="00377079"/>
    <w:rsid w:val="003A7F04"/>
    <w:rsid w:val="003D64D6"/>
    <w:rsid w:val="003E2946"/>
    <w:rsid w:val="003F393F"/>
    <w:rsid w:val="0044213C"/>
    <w:rsid w:val="00450B27"/>
    <w:rsid w:val="004803F4"/>
    <w:rsid w:val="00482F03"/>
    <w:rsid w:val="00497571"/>
    <w:rsid w:val="004B668D"/>
    <w:rsid w:val="004C1221"/>
    <w:rsid w:val="00503452"/>
    <w:rsid w:val="00520B85"/>
    <w:rsid w:val="00524CD9"/>
    <w:rsid w:val="0053609D"/>
    <w:rsid w:val="0057229F"/>
    <w:rsid w:val="005905C0"/>
    <w:rsid w:val="005E1189"/>
    <w:rsid w:val="005E3F13"/>
    <w:rsid w:val="005F7BD6"/>
    <w:rsid w:val="006058B1"/>
    <w:rsid w:val="006125D6"/>
    <w:rsid w:val="00641538"/>
    <w:rsid w:val="00651AAB"/>
    <w:rsid w:val="006905AC"/>
    <w:rsid w:val="006A15E0"/>
    <w:rsid w:val="006C54D8"/>
    <w:rsid w:val="006D01D7"/>
    <w:rsid w:val="006F52CD"/>
    <w:rsid w:val="00725332"/>
    <w:rsid w:val="00735769"/>
    <w:rsid w:val="00754CC6"/>
    <w:rsid w:val="00762308"/>
    <w:rsid w:val="00771FF7"/>
    <w:rsid w:val="00781A97"/>
    <w:rsid w:val="00782927"/>
    <w:rsid w:val="00792E76"/>
    <w:rsid w:val="007C26D5"/>
    <w:rsid w:val="007C347E"/>
    <w:rsid w:val="007D1A87"/>
    <w:rsid w:val="008062FB"/>
    <w:rsid w:val="00816F21"/>
    <w:rsid w:val="008307B4"/>
    <w:rsid w:val="00843834"/>
    <w:rsid w:val="008B1943"/>
    <w:rsid w:val="008C2E19"/>
    <w:rsid w:val="009001F4"/>
    <w:rsid w:val="00925AB2"/>
    <w:rsid w:val="009B17A2"/>
    <w:rsid w:val="009B616A"/>
    <w:rsid w:val="009B65E1"/>
    <w:rsid w:val="009B78EA"/>
    <w:rsid w:val="009C577C"/>
    <w:rsid w:val="009D42CF"/>
    <w:rsid w:val="00A5031E"/>
    <w:rsid w:val="00A53FFF"/>
    <w:rsid w:val="00A717DD"/>
    <w:rsid w:val="00A831C3"/>
    <w:rsid w:val="00A974E9"/>
    <w:rsid w:val="00AB2A1B"/>
    <w:rsid w:val="00AB48A9"/>
    <w:rsid w:val="00AF4DED"/>
    <w:rsid w:val="00B11E2C"/>
    <w:rsid w:val="00B21731"/>
    <w:rsid w:val="00B22A3F"/>
    <w:rsid w:val="00B25946"/>
    <w:rsid w:val="00B41ACF"/>
    <w:rsid w:val="00B64193"/>
    <w:rsid w:val="00B67A8F"/>
    <w:rsid w:val="00BB1DBC"/>
    <w:rsid w:val="00BC05AF"/>
    <w:rsid w:val="00BC0C50"/>
    <w:rsid w:val="00BD0C17"/>
    <w:rsid w:val="00C07FFC"/>
    <w:rsid w:val="00C11566"/>
    <w:rsid w:val="00C20E70"/>
    <w:rsid w:val="00C436F1"/>
    <w:rsid w:val="00C478AD"/>
    <w:rsid w:val="00C55821"/>
    <w:rsid w:val="00C65F2B"/>
    <w:rsid w:val="00C9556B"/>
    <w:rsid w:val="00CA23AA"/>
    <w:rsid w:val="00CE69D1"/>
    <w:rsid w:val="00D34901"/>
    <w:rsid w:val="00D47635"/>
    <w:rsid w:val="00D778E2"/>
    <w:rsid w:val="00D8115F"/>
    <w:rsid w:val="00D91251"/>
    <w:rsid w:val="00D972D6"/>
    <w:rsid w:val="00DD149F"/>
    <w:rsid w:val="00DE0CD6"/>
    <w:rsid w:val="00DE1C36"/>
    <w:rsid w:val="00DF7DF7"/>
    <w:rsid w:val="00E071CB"/>
    <w:rsid w:val="00E11CC8"/>
    <w:rsid w:val="00E17868"/>
    <w:rsid w:val="00E97931"/>
    <w:rsid w:val="00EC7BDD"/>
    <w:rsid w:val="00EF5844"/>
    <w:rsid w:val="00F16E2F"/>
    <w:rsid w:val="00F17D51"/>
    <w:rsid w:val="00F27045"/>
    <w:rsid w:val="00F56BB4"/>
    <w:rsid w:val="00F61DAC"/>
    <w:rsid w:val="00F80C92"/>
    <w:rsid w:val="00F84234"/>
    <w:rsid w:val="00F84CA9"/>
    <w:rsid w:val="00F92BEE"/>
    <w:rsid w:val="00FC314F"/>
    <w:rsid w:val="00FC32D1"/>
    <w:rsid w:val="00FD1D20"/>
    <w:rsid w:val="00FD57A7"/>
    <w:rsid w:val="00FE0EF6"/>
    <w:rsid w:val="00FE30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0"/>
    </o:shapedefaults>
    <o:shapelayout v:ext="edit">
      <o:idmap v:ext="edit" data="1"/>
    </o:shapelayout>
  </w:shapeDefaults>
  <w:decimalSymbol w:val=","/>
  <w:listSeparator w:val=";"/>
  <w14:docId w14:val="7CD3FEB3"/>
  <w15:docId w15:val="{628E38EF-42A5-4807-8AF3-31FE68B8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9F"/>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8307B4"/>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pPr>
  </w:style>
  <w:style w:type="paragraph" w:customStyle="1" w:styleId="Allkirjastajanimi">
    <w:name w:val="Allkirjastaja nimi"/>
    <w:basedOn w:val="BodyText"/>
    <w:next w:val="BodyText"/>
    <w:qFormat/>
    <w:rsid w:val="009B78EA"/>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7"/>
      </w:numPr>
      <w:tabs>
        <w:tab w:val="left" w:pos="6521"/>
      </w:tabs>
      <w:spacing w:before="120"/>
    </w:pPr>
  </w:style>
  <w:style w:type="paragraph" w:customStyle="1" w:styleId="Bodylisam">
    <w:name w:val="Bodylisam"/>
    <w:basedOn w:val="Normal"/>
    <w:rsid w:val="0057229F"/>
    <w:pPr>
      <w:numPr>
        <w:ilvl w:val="1"/>
        <w:numId w:val="7"/>
      </w:numPr>
    </w:pPr>
  </w:style>
  <w:style w:type="paragraph" w:customStyle="1" w:styleId="Bodymlisa">
    <w:name w:val="Bodymlisa"/>
    <w:basedOn w:val="Normal"/>
    <w:rsid w:val="00C07FFC"/>
    <w:pPr>
      <w:numPr>
        <w:ilvl w:val="2"/>
        <w:numId w:val="7"/>
      </w:numPr>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pPr>
  </w:style>
  <w:style w:type="paragraph" w:customStyle="1" w:styleId="Allkirjastatuddigit">
    <w:name w:val="Allkirjastatud digit"/>
    <w:basedOn w:val="BodyText"/>
    <w:qFormat/>
    <w:rsid w:val="001E02F9"/>
    <w:pPr>
      <w:spacing w:before="480" w:after="120"/>
    </w:pPr>
  </w:style>
  <w:style w:type="table" w:styleId="TableGrid">
    <w:name w:val="Table Grid"/>
    <w:basedOn w:val="TableNormal"/>
    <w:rsid w:val="0057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1">
    <w:name w:val="Bodyt1"/>
    <w:basedOn w:val="BodyText"/>
    <w:rsid w:val="00782927"/>
    <w:pPr>
      <w:tabs>
        <w:tab w:val="left" w:pos="6521"/>
      </w:tabs>
      <w:spacing w:after="120"/>
    </w:pPr>
    <w:rPr>
      <w:rFonts w:ascii="Times New Roman" w:hAnsi="Times New Roman"/>
      <w:sz w:val="24"/>
      <w:lang w:eastAsia="en-US"/>
    </w:rPr>
  </w:style>
  <w:style w:type="character" w:styleId="CommentReference">
    <w:name w:val="annotation reference"/>
    <w:basedOn w:val="DefaultParagraphFont"/>
    <w:semiHidden/>
    <w:unhideWhenUsed/>
    <w:rsid w:val="006A15E0"/>
    <w:rPr>
      <w:sz w:val="16"/>
      <w:szCs w:val="16"/>
    </w:rPr>
  </w:style>
  <w:style w:type="paragraph" w:styleId="CommentText">
    <w:name w:val="annotation text"/>
    <w:basedOn w:val="Normal"/>
    <w:link w:val="CommentTextChar"/>
    <w:semiHidden/>
    <w:unhideWhenUsed/>
    <w:rsid w:val="006A15E0"/>
  </w:style>
  <w:style w:type="character" w:customStyle="1" w:styleId="CommentTextChar">
    <w:name w:val="Comment Text Char"/>
    <w:basedOn w:val="DefaultParagraphFont"/>
    <w:link w:val="CommentText"/>
    <w:semiHidden/>
    <w:rsid w:val="006A15E0"/>
  </w:style>
  <w:style w:type="paragraph" w:styleId="CommentSubject">
    <w:name w:val="annotation subject"/>
    <w:basedOn w:val="CommentText"/>
    <w:next w:val="CommentText"/>
    <w:link w:val="CommentSubjectChar"/>
    <w:semiHidden/>
    <w:unhideWhenUsed/>
    <w:rsid w:val="006A15E0"/>
    <w:rPr>
      <w:b/>
      <w:bCs/>
    </w:rPr>
  </w:style>
  <w:style w:type="character" w:customStyle="1" w:styleId="CommentSubjectChar">
    <w:name w:val="Comment Subject Char"/>
    <w:basedOn w:val="CommentTextChar"/>
    <w:link w:val="CommentSubject"/>
    <w:semiHidden/>
    <w:rsid w:val="006A15E0"/>
    <w:rPr>
      <w:b/>
      <w:bCs/>
    </w:rPr>
  </w:style>
  <w:style w:type="paragraph" w:styleId="BalloonText">
    <w:name w:val="Balloon Text"/>
    <w:basedOn w:val="Normal"/>
    <w:link w:val="BalloonTextChar"/>
    <w:semiHidden/>
    <w:unhideWhenUsed/>
    <w:rsid w:val="006A15E0"/>
    <w:rPr>
      <w:rFonts w:ascii="Segoe UI" w:hAnsi="Segoe UI" w:cs="Segoe UI"/>
      <w:sz w:val="18"/>
      <w:szCs w:val="18"/>
    </w:rPr>
  </w:style>
  <w:style w:type="character" w:customStyle="1" w:styleId="BalloonTextChar">
    <w:name w:val="Balloon Text Char"/>
    <w:basedOn w:val="DefaultParagraphFont"/>
    <w:link w:val="BalloonText"/>
    <w:semiHidden/>
    <w:rsid w:val="006A15E0"/>
    <w:rPr>
      <w:rFonts w:ascii="Segoe UI" w:hAnsi="Segoe UI" w:cs="Segoe UI"/>
      <w:sz w:val="18"/>
      <w:szCs w:val="18"/>
    </w:rPr>
  </w:style>
  <w:style w:type="paragraph" w:styleId="ListParagraph">
    <w:name w:val="List Paragraph"/>
    <w:basedOn w:val="Normal"/>
    <w:uiPriority w:val="34"/>
    <w:qFormat/>
    <w:rsid w:val="00503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 w:id="16600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89F37F81358345BBF18940582FF4B8" ma:contentTypeVersion="2" ma:contentTypeDescription="Loo uus dokument" ma:contentTypeScope="" ma:versionID="4b5f296855e5e28455d02b39016ab454">
  <xsd:schema xmlns:xsd="http://www.w3.org/2001/XMLSchema" xmlns:xs="http://www.w3.org/2001/XMLSchema" xmlns:p="http://schemas.microsoft.com/office/2006/metadata/properties" xmlns:ns2="9b46b002-810e-45f6-a90e-880869899eb2" targetNamespace="http://schemas.microsoft.com/office/2006/metadata/properties" ma:root="true" ma:fieldsID="fec103f02223b327d00576bb4fd221d0" ns2:_="">
    <xsd:import namespace="9b46b002-810e-45f6-a90e-880869899e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4EE38-04E4-474A-B0FA-2BF91930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E5956-7BCC-4AB2-B97D-275CE74EABD1}">
  <ds:schemaRefs>
    <ds:schemaRef ds:uri="http://schemas.microsoft.com/sharepoint/v3/contenttype/forms"/>
  </ds:schemaRefs>
</ds:datastoreItem>
</file>

<file path=customXml/itemProps3.xml><?xml version="1.0" encoding="utf-8"?>
<ds:datastoreItem xmlns:ds="http://schemas.openxmlformats.org/officeDocument/2006/customXml" ds:itemID="{30775F78-DDE7-44F0-ACD6-67646EB5C393}">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9b46b002-810e-45f6-a90e-880869899eb2"/>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Tõnu Pihelgas</dc:creator>
  <cp:keywords/>
  <dc:description/>
  <cp:lastModifiedBy>Kairi Schütz</cp:lastModifiedBy>
  <cp:revision>5</cp:revision>
  <cp:lastPrinted>2003-02-05T10:15:00Z</cp:lastPrinted>
  <dcterms:created xsi:type="dcterms:W3CDTF">2019-11-01T12:55:00Z</dcterms:created>
  <dcterms:modified xsi:type="dcterms:W3CDTF">2021-03-18T10:23:00Z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