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43D52" w14:textId="69D3DC31" w:rsidR="0031245F" w:rsidRPr="007D4E8A" w:rsidRDefault="0031245F">
      <w:pPr>
        <w:pStyle w:val="BodyText"/>
        <w:sectPr w:rsidR="0031245F" w:rsidRPr="007D4E8A" w:rsidSect="005F5A93">
          <w:headerReference w:type="even" r:id="rId8"/>
          <w:headerReference w:type="default" r:id="rId9"/>
          <w:footerReference w:type="even" r:id="rId10"/>
          <w:type w:val="continuous"/>
          <w:pgSz w:w="11906" w:h="16838" w:code="9"/>
          <w:pgMar w:top="284" w:right="244" w:bottom="510" w:left="238" w:header="454" w:footer="510" w:gutter="0"/>
          <w:cols w:space="708"/>
          <w:titlePg/>
        </w:sectPr>
      </w:pPr>
    </w:p>
    <w:p w14:paraId="3CCD2C2E" w14:textId="486CEA11" w:rsidR="005F5A93" w:rsidRPr="007D4E8A" w:rsidRDefault="005F5A93" w:rsidP="005F5A93">
      <w:pPr>
        <w:pStyle w:val="Tallinn"/>
        <w:tabs>
          <w:tab w:val="left" w:pos="6285"/>
        </w:tabs>
        <w:jc w:val="right"/>
      </w:pPr>
      <w:r w:rsidRPr="007D4E8A">
        <w:t>TERVIKTEKST</w:t>
      </w:r>
    </w:p>
    <w:p w14:paraId="0D06A139" w14:textId="5DA5FC44" w:rsidR="005F5A93" w:rsidRPr="007D4E8A" w:rsidRDefault="005F5A93" w:rsidP="005F5A93">
      <w:pPr>
        <w:pStyle w:val="BodyText"/>
      </w:pPr>
      <w:r w:rsidRPr="007D4E8A">
        <w:t xml:space="preserve">Kehtestatud Tallinna Tehnikaülikooli senati 12.12.2023 määrusega nr 9 </w:t>
      </w:r>
    </w:p>
    <w:p w14:paraId="17510499" w14:textId="7F0A061D" w:rsidR="00A80D60" w:rsidRPr="007D4E8A" w:rsidRDefault="00A80D60" w:rsidP="005F5A93">
      <w:pPr>
        <w:pStyle w:val="BodyText"/>
      </w:pPr>
      <w:r w:rsidRPr="007D4E8A">
        <w:t xml:space="preserve">Muudetud Tallinna Tehnikaülikooli senati </w:t>
      </w:r>
      <w:r w:rsidR="00C07B3A" w:rsidRPr="007D4E8A">
        <w:t>20.05.2025</w:t>
      </w:r>
      <w:r w:rsidRPr="007D4E8A">
        <w:t xml:space="preserve"> määrusega nr </w:t>
      </w:r>
      <w:r w:rsidR="00C07B3A" w:rsidRPr="007D4E8A">
        <w:t>5</w:t>
      </w:r>
    </w:p>
    <w:p w14:paraId="1F0BCA98" w14:textId="4D681AE6" w:rsidR="00C60634" w:rsidRPr="007D4E8A" w:rsidRDefault="005F5A93" w:rsidP="005F5A93">
      <w:pPr>
        <w:pStyle w:val="Tallinn"/>
        <w:tabs>
          <w:tab w:val="left" w:pos="6285"/>
        </w:tabs>
        <w:jc w:val="both"/>
      </w:pPr>
      <w:r w:rsidRPr="007D4E8A">
        <w:t xml:space="preserve">Redaktsiooni jõustumise kuupäev: </w:t>
      </w:r>
      <w:r w:rsidR="00C07B3A" w:rsidRPr="007D4E8A">
        <w:t>01.08.2025</w:t>
      </w:r>
    </w:p>
    <w:p w14:paraId="051A4F62" w14:textId="190126E8" w:rsidR="00C60634" w:rsidRDefault="00C60634" w:rsidP="0084431B">
      <w:pPr>
        <w:pStyle w:val="Pealkiri"/>
        <w:spacing w:before="240" w:after="120"/>
        <w:ind w:right="0"/>
      </w:pPr>
      <w:r>
        <w:t>Varasemate õpingute ja töökogemuse</w:t>
      </w:r>
      <w:r w:rsidR="00396767">
        <w:t xml:space="preserve"> </w:t>
      </w:r>
      <w:r>
        <w:t>arvestamise eeskiri</w:t>
      </w:r>
    </w:p>
    <w:p w14:paraId="153A69F3" w14:textId="7419EF0F" w:rsidR="00C60634" w:rsidRDefault="00C60634" w:rsidP="00C60634">
      <w:r w:rsidRPr="00030292">
        <w:t xml:space="preserve">Määrus </w:t>
      </w:r>
      <w:r w:rsidRPr="00702729">
        <w:t xml:space="preserve">kehtestatakse Tallinna Tehnikaülikooli seaduse § 5 lg 3 punkti 1 </w:t>
      </w:r>
      <w:r w:rsidRPr="00702729">
        <w:rPr>
          <w:rFonts w:cstheme="minorHAnsi"/>
        </w:rPr>
        <w:t>alusel.</w:t>
      </w:r>
    </w:p>
    <w:p w14:paraId="7CFF3C75" w14:textId="77777777" w:rsidR="00C60634" w:rsidRDefault="00C60634" w:rsidP="00C60634">
      <w:pPr>
        <w:pStyle w:val="Loetelum"/>
        <w:numPr>
          <w:ilvl w:val="0"/>
          <w:numId w:val="4"/>
        </w:numPr>
      </w:pPr>
      <w:r>
        <w:t>Üldsätted</w:t>
      </w:r>
    </w:p>
    <w:p w14:paraId="66BF42A5" w14:textId="6F82F5DF" w:rsidR="00C60634" w:rsidRDefault="00C60634" w:rsidP="00C60634">
      <w:pPr>
        <w:pStyle w:val="Bodym"/>
        <w:numPr>
          <w:ilvl w:val="1"/>
          <w:numId w:val="4"/>
        </w:numPr>
      </w:pPr>
      <w:r w:rsidRPr="00A86603">
        <w:t xml:space="preserve">Käesoleva </w:t>
      </w:r>
      <w:r>
        <w:t>eeskirjaga sätestatakse</w:t>
      </w:r>
      <w:r w:rsidRPr="00A86603">
        <w:t xml:space="preserve"> varasemate õpingute ja töökogemuse</w:t>
      </w:r>
      <w:r w:rsidR="00396767">
        <w:t xml:space="preserve"> </w:t>
      </w:r>
      <w:r w:rsidRPr="00A86603">
        <w:t>arvestami</w:t>
      </w:r>
      <w:r>
        <w:t>se (</w:t>
      </w:r>
      <w:r w:rsidRPr="00A86603">
        <w:t>edaspid</w:t>
      </w:r>
      <w:r>
        <w:t xml:space="preserve">i </w:t>
      </w:r>
      <w:r w:rsidRPr="006C2122">
        <w:rPr>
          <w:i/>
        </w:rPr>
        <w:t>VÕTA</w:t>
      </w:r>
      <w:r>
        <w:t>) tingimused ja kord</w:t>
      </w:r>
      <w:r w:rsidRPr="00A86603">
        <w:t xml:space="preserve"> </w:t>
      </w:r>
      <w:r>
        <w:t xml:space="preserve">Tallinna Tehnikaülikoolis (edaspidi TalTech või </w:t>
      </w:r>
      <w:r w:rsidRPr="00597D10">
        <w:rPr>
          <w:i/>
        </w:rPr>
        <w:t>ülikool</w:t>
      </w:r>
      <w:r>
        <w:t>).</w:t>
      </w:r>
    </w:p>
    <w:p w14:paraId="27AD35D4" w14:textId="77777777" w:rsidR="00A713CC" w:rsidRDefault="00A713CC" w:rsidP="00A713CC">
      <w:pPr>
        <w:pStyle w:val="Bodym"/>
        <w:numPr>
          <w:ilvl w:val="1"/>
          <w:numId w:val="4"/>
        </w:numPr>
      </w:pPr>
      <w:r>
        <w:t>VÕTA eesmärk on:</w:t>
      </w:r>
    </w:p>
    <w:p w14:paraId="3AF6CC13" w14:textId="77777777" w:rsidR="00A713CC" w:rsidRDefault="00A713CC" w:rsidP="00A713CC">
      <w:pPr>
        <w:pStyle w:val="Bodym1"/>
        <w:numPr>
          <w:ilvl w:val="2"/>
          <w:numId w:val="4"/>
        </w:numPr>
      </w:pPr>
      <w:r>
        <w:t xml:space="preserve">väärtustada elukestvat õpet ning tagada võrdsed võimalused isiku teadmiste ja oskuste hindamiseks ja tunnustamiseks, sõltumata nende omandamise ajast, kohast ja viisist; </w:t>
      </w:r>
    </w:p>
    <w:p w14:paraId="28FFC860" w14:textId="77777777" w:rsidR="00A713CC" w:rsidRDefault="00A713CC" w:rsidP="00A713CC">
      <w:pPr>
        <w:pStyle w:val="Bodym1"/>
        <w:numPr>
          <w:ilvl w:val="2"/>
          <w:numId w:val="4"/>
        </w:numPr>
      </w:pPr>
      <w:r>
        <w:t>suurendada isikute, sealhulgas erivajadusega isikute, hariduslikku ja tööalast mobiilsust ning avardada elukestva õppe võimalusi;</w:t>
      </w:r>
    </w:p>
    <w:p w14:paraId="77B6CBAF" w14:textId="77777777" w:rsidR="00A713CC" w:rsidRDefault="00A713CC" w:rsidP="00A713CC">
      <w:pPr>
        <w:pStyle w:val="Bodym1"/>
        <w:numPr>
          <w:ilvl w:val="2"/>
          <w:numId w:val="4"/>
        </w:numPr>
      </w:pPr>
      <w:r>
        <w:t>võimaldada haridustasemetest koosnevas haridussüsteemis õppimise (formaalharidus), muu organiseeritud õppetegevuse (mitteformaalne haridus) ja erialase töökogemuse kaudu ning igapäevase tegevuse ja vaba aja raames õppimise (informaalne haridus) tulemusi lugeda samaväärseks õppekava läbimisel saavutatavate õpiväljunditega</w:t>
      </w:r>
      <w:r w:rsidRPr="00EE7B75">
        <w:rPr>
          <w:rStyle w:val="cf01"/>
          <w:rFonts w:asciiTheme="minorHAnsi" w:hAnsiTheme="minorHAnsi" w:cstheme="minorHAnsi"/>
          <w:sz w:val="22"/>
          <w:szCs w:val="22"/>
        </w:rPr>
        <w:t xml:space="preserve"> </w:t>
      </w:r>
      <w:r>
        <w:t>või õppekavale kandideerimisel kandideerimise aluseks olevale kõrg</w:t>
      </w:r>
      <w:r w:rsidRPr="00EE7B75">
        <w:rPr>
          <w:rStyle w:val="cf01"/>
          <w:rFonts w:asciiTheme="minorHAnsi" w:hAnsiTheme="minorHAnsi" w:cstheme="minorHAnsi"/>
          <w:sz w:val="22"/>
          <w:szCs w:val="22"/>
        </w:rPr>
        <w:t>haridusele kehtestatud eriala/valdkonna nõu</w:t>
      </w:r>
      <w:r>
        <w:rPr>
          <w:rStyle w:val="cf01"/>
          <w:rFonts w:asciiTheme="minorHAnsi" w:hAnsiTheme="minorHAnsi" w:cstheme="minorHAnsi"/>
          <w:sz w:val="22"/>
          <w:szCs w:val="22"/>
        </w:rPr>
        <w:t>de</w:t>
      </w:r>
      <w:r w:rsidRPr="002857D6">
        <w:rPr>
          <w:rStyle w:val="cf01"/>
          <w:rFonts w:asciiTheme="minorHAnsi" w:hAnsiTheme="minorHAnsi" w:cstheme="minorHAnsi"/>
          <w:szCs w:val="22"/>
        </w:rPr>
        <w:t xml:space="preserve"> </w:t>
      </w:r>
      <w:r>
        <w:t>täitmisel;</w:t>
      </w:r>
    </w:p>
    <w:p w14:paraId="1541A79A" w14:textId="2DD53D1D" w:rsidR="00A713CC" w:rsidRDefault="00A713CC" w:rsidP="00A713CC">
      <w:pPr>
        <w:pStyle w:val="Bodym1"/>
        <w:numPr>
          <w:ilvl w:val="2"/>
          <w:numId w:val="4"/>
        </w:numPr>
      </w:pPr>
      <w:r>
        <w:t>võimaldada ülikoolil paindlikult reageerida tööturul toimuvatele muutustele ning tööjõuvajaduse muutumisele.</w:t>
      </w:r>
    </w:p>
    <w:p w14:paraId="526CB4BE" w14:textId="68964A10" w:rsidR="00C60634" w:rsidRDefault="00C60634" w:rsidP="00C60634">
      <w:pPr>
        <w:pStyle w:val="Bodym"/>
        <w:numPr>
          <w:ilvl w:val="1"/>
          <w:numId w:val="4"/>
        </w:numPr>
      </w:pPr>
      <w:r>
        <w:t xml:space="preserve"> </w:t>
      </w:r>
      <w:proofErr w:type="spellStart"/>
      <w:r>
        <w:t>VÕTA-t</w:t>
      </w:r>
      <w:proofErr w:type="spellEnd"/>
      <w:r>
        <w:t xml:space="preserve"> rakendatakse</w:t>
      </w:r>
      <w:r w:rsidR="00E54293">
        <w:t>:</w:t>
      </w:r>
    </w:p>
    <w:p w14:paraId="2F5EC014" w14:textId="7C72232D" w:rsidR="00C60634" w:rsidRDefault="00C60634" w:rsidP="00C60634">
      <w:pPr>
        <w:pStyle w:val="Bodym1"/>
        <w:numPr>
          <w:ilvl w:val="2"/>
          <w:numId w:val="4"/>
        </w:numPr>
      </w:pPr>
      <w:r w:rsidRPr="00F00899">
        <w:t>õppekava täitmisel</w:t>
      </w:r>
      <w:r>
        <w:t xml:space="preserve">, v.a lõikes </w:t>
      </w:r>
      <w:r w:rsidR="00A6785F">
        <w:t>4</w:t>
      </w:r>
      <w:r>
        <w:t xml:space="preserve"> nimetatud juhtudel</w:t>
      </w:r>
      <w:r w:rsidRPr="00F00899">
        <w:t>;</w:t>
      </w:r>
    </w:p>
    <w:p w14:paraId="60FB9E0C" w14:textId="3F538E37" w:rsidR="00C60634" w:rsidRDefault="00C60634" w:rsidP="00E06753">
      <w:pPr>
        <w:pStyle w:val="Bodym1"/>
        <w:numPr>
          <w:ilvl w:val="2"/>
          <w:numId w:val="4"/>
        </w:numPr>
      </w:pPr>
      <w:r w:rsidRPr="00F00899">
        <w:t>vastuvõtutingimuste</w:t>
      </w:r>
      <w:r w:rsidR="003F55F7">
        <w:t>s nimetatud eelneva kõrghariduse eriala/valdkonna nõude</w:t>
      </w:r>
      <w:r w:rsidRPr="00F00899">
        <w:t xml:space="preserve"> täitmiseks</w:t>
      </w:r>
      <w:r>
        <w:t>.</w:t>
      </w:r>
      <w:r w:rsidRPr="00F00899">
        <w:t xml:space="preserve"> </w:t>
      </w:r>
    </w:p>
    <w:p w14:paraId="2FEB29F2" w14:textId="77777777" w:rsidR="00C60634" w:rsidRDefault="00C60634" w:rsidP="00C60634">
      <w:pPr>
        <w:pStyle w:val="Bodym"/>
        <w:numPr>
          <w:ilvl w:val="1"/>
          <w:numId w:val="4"/>
        </w:numPr>
      </w:pPr>
      <w:proofErr w:type="spellStart"/>
      <w:r w:rsidRPr="00A86603">
        <w:t>VÕTA</w:t>
      </w:r>
      <w:r>
        <w:t>-t</w:t>
      </w:r>
      <w:proofErr w:type="spellEnd"/>
      <w:r w:rsidRPr="00A86603">
        <w:t xml:space="preserve"> </w:t>
      </w:r>
      <w:r>
        <w:t>ei rakendata</w:t>
      </w:r>
      <w:r w:rsidRPr="00A86603">
        <w:t>:</w:t>
      </w:r>
    </w:p>
    <w:p w14:paraId="6BB4FEDB" w14:textId="2F020222" w:rsidR="00C60634" w:rsidRDefault="00195F4D" w:rsidP="00C60634">
      <w:pPr>
        <w:pStyle w:val="Bodym1"/>
        <w:numPr>
          <w:ilvl w:val="2"/>
          <w:numId w:val="4"/>
        </w:numPr>
      </w:pPr>
      <w:r>
        <w:t>l</w:t>
      </w:r>
      <w:r w:rsidR="00C60634">
        <w:t>õpueksami</w:t>
      </w:r>
      <w:r>
        <w:t xml:space="preserve"> ja</w:t>
      </w:r>
      <w:r w:rsidR="00C60634">
        <w:t xml:space="preserve"> lõputöö</w:t>
      </w:r>
      <w:r w:rsidR="00FD67F6">
        <w:t xml:space="preserve"> </w:t>
      </w:r>
      <w:r w:rsidR="00C60634">
        <w:t>puhul;</w:t>
      </w:r>
    </w:p>
    <w:p w14:paraId="19A1FE83" w14:textId="15D3EC23" w:rsidR="00C60634" w:rsidRDefault="00C60634" w:rsidP="00C60634">
      <w:pPr>
        <w:pStyle w:val="Bodym1"/>
        <w:numPr>
          <w:ilvl w:val="2"/>
          <w:numId w:val="4"/>
        </w:numPr>
      </w:pPr>
      <w:r w:rsidRPr="00A86603">
        <w:t>õppeaine osa</w:t>
      </w:r>
      <w:r>
        <w:t>le</w:t>
      </w:r>
      <w:r w:rsidRPr="00A86603">
        <w:t>, mille arvestamine toimub üliõpilase ja õppeaine</w:t>
      </w:r>
      <w:r>
        <w:t>t õpetava</w:t>
      </w:r>
      <w:r w:rsidRPr="00A86603">
        <w:t xml:space="preserve"> õppejõu kokkuleppel</w:t>
      </w:r>
      <w:r>
        <w:t>;</w:t>
      </w:r>
      <w:r w:rsidRPr="00A86603">
        <w:t xml:space="preserve"> </w:t>
      </w:r>
    </w:p>
    <w:p w14:paraId="76ADB13E" w14:textId="77777777" w:rsidR="00C60634" w:rsidRDefault="00C60634" w:rsidP="00C60634">
      <w:pPr>
        <w:pStyle w:val="Bodym1"/>
        <w:numPr>
          <w:ilvl w:val="2"/>
          <w:numId w:val="4"/>
        </w:numPr>
      </w:pPr>
      <w:r w:rsidRPr="00A86603">
        <w:t>praktika</w:t>
      </w:r>
      <w:r>
        <w:t xml:space="preserve"> sooritamisele</w:t>
      </w:r>
      <w:r w:rsidRPr="00A86603">
        <w:t>, mille arvestamine toimub vastavalt praktika juhendile</w:t>
      </w:r>
      <w:r>
        <w:t>;</w:t>
      </w:r>
    </w:p>
    <w:p w14:paraId="00758692" w14:textId="7B8A8EDA" w:rsidR="00C60634" w:rsidRDefault="00C60634" w:rsidP="00C60634">
      <w:pPr>
        <w:pStyle w:val="Bodym1"/>
        <w:numPr>
          <w:ilvl w:val="2"/>
          <w:numId w:val="4"/>
        </w:numPr>
      </w:pPr>
      <w:proofErr w:type="spellStart"/>
      <w:r>
        <w:t>kõrvaleriala</w:t>
      </w:r>
      <w:proofErr w:type="spellEnd"/>
      <w:r>
        <w:t xml:space="preserve"> mooduli täitmiseks</w:t>
      </w:r>
      <w:r w:rsidR="001103DE">
        <w:t>;</w:t>
      </w:r>
    </w:p>
    <w:p w14:paraId="5A068304" w14:textId="68A4416B" w:rsidR="001103DE" w:rsidRPr="006879AF" w:rsidRDefault="001103DE" w:rsidP="00A713CC">
      <w:pPr>
        <w:pStyle w:val="Bodym1"/>
        <w:numPr>
          <w:ilvl w:val="2"/>
          <w:numId w:val="4"/>
        </w:numPr>
      </w:pPr>
      <w:r>
        <w:t>dekaani korraldusega määratud õppekava õppeaines, milles on VÕTA rakendamise keeld</w:t>
      </w:r>
      <w:r w:rsidR="00195F4D" w:rsidRPr="00195F4D">
        <w:t>.</w:t>
      </w:r>
    </w:p>
    <w:p w14:paraId="7D2AE59E" w14:textId="006E9E83" w:rsidR="00A713CC" w:rsidRDefault="00A713CC" w:rsidP="00A713CC">
      <w:pPr>
        <w:pStyle w:val="Bodym"/>
      </w:pPr>
      <w:r w:rsidRPr="00A713CC">
        <w:t>Lõputööd, lõpueksamit ja praktikat ei saa kasutada õppekava õppeainete arvestamiseks. Nendest õpitut on võimalik kasutada VÕTA taotluse eneseanalüüsis.</w:t>
      </w:r>
    </w:p>
    <w:p w14:paraId="1BAC8E0A" w14:textId="2EC3A5A3" w:rsidR="00C60634" w:rsidRDefault="00D84D3A" w:rsidP="00C60634">
      <w:pPr>
        <w:pStyle w:val="Bodym"/>
        <w:numPr>
          <w:ilvl w:val="1"/>
          <w:numId w:val="4"/>
        </w:numPr>
      </w:pPr>
      <w:r>
        <w:t xml:space="preserve">Kui </w:t>
      </w:r>
      <w:r w:rsidR="00C60634">
        <w:t>üliõpila</w:t>
      </w:r>
      <w:r w:rsidR="00B93CC5">
        <w:t>ne on</w:t>
      </w:r>
      <w:r w:rsidR="00C60634">
        <w:t xml:space="preserve"> õppeaine õppeinfosüsteemis (edaspidi </w:t>
      </w:r>
      <w:r w:rsidR="00C60634" w:rsidRPr="005411E4">
        <w:rPr>
          <w:i/>
        </w:rPr>
        <w:t>ÕIS</w:t>
      </w:r>
      <w:r w:rsidR="00C60634">
        <w:t xml:space="preserve">) </w:t>
      </w:r>
      <w:r w:rsidR="00B93CC5">
        <w:t xml:space="preserve">deklareerinud, </w:t>
      </w:r>
      <w:r w:rsidR="00C60634">
        <w:t xml:space="preserve">ei saa </w:t>
      </w:r>
      <w:r w:rsidR="00B93CC5">
        <w:t>ta</w:t>
      </w:r>
      <w:r>
        <w:t xml:space="preserve"> pärast seda enam</w:t>
      </w:r>
      <w:r w:rsidR="00B93CC5">
        <w:t xml:space="preserve"> taotleda </w:t>
      </w:r>
      <w:r w:rsidR="00FB58A3">
        <w:t xml:space="preserve">selle </w:t>
      </w:r>
      <w:r w:rsidR="00C60634">
        <w:t>õppeaine</w:t>
      </w:r>
      <w:r w:rsidR="00B93CC5">
        <w:t xml:space="preserve"> </w:t>
      </w:r>
      <w:proofErr w:type="spellStart"/>
      <w:r w:rsidR="00B93CC5">
        <w:t>VÕTA</w:t>
      </w:r>
      <w:r w:rsidR="00697BFE">
        <w:t>-</w:t>
      </w:r>
      <w:r w:rsidR="00B93CC5">
        <w:t>ga</w:t>
      </w:r>
      <w:proofErr w:type="spellEnd"/>
      <w:r w:rsidR="00C60634">
        <w:t xml:space="preserve"> arvesta</w:t>
      </w:r>
      <w:r w:rsidR="00B93CC5">
        <w:t>mist</w:t>
      </w:r>
      <w:r w:rsidR="00C60634">
        <w:t xml:space="preserve"> enne </w:t>
      </w:r>
      <w:r w:rsidR="00B93CC5">
        <w:t xml:space="preserve">õppeaine </w:t>
      </w:r>
      <w:r w:rsidR="00C60634">
        <w:t>deklareerimist sooritatud aine või töökogemusest</w:t>
      </w:r>
      <w:r w:rsidR="00E64FF8">
        <w:t xml:space="preserve"> omandatu</w:t>
      </w:r>
      <w:r w:rsidR="00C60634">
        <w:t>, täienduskoolitusest või muu</w:t>
      </w:r>
      <w:r w:rsidR="00B93CC5">
        <w:t>l viisil</w:t>
      </w:r>
      <w:r w:rsidR="00C60634">
        <w:t xml:space="preserve"> õpitu</w:t>
      </w:r>
      <w:r w:rsidR="00B93CC5">
        <w:t xml:space="preserve"> alusel</w:t>
      </w:r>
      <w:r w:rsidR="00C60634">
        <w:t>.</w:t>
      </w:r>
    </w:p>
    <w:p w14:paraId="6E4791F5" w14:textId="1D89E8E7" w:rsidR="00C07B3A" w:rsidRPr="007D4E8A" w:rsidRDefault="00C07B3A" w:rsidP="00C60634">
      <w:pPr>
        <w:pStyle w:val="Bodym"/>
        <w:numPr>
          <w:ilvl w:val="1"/>
          <w:numId w:val="4"/>
        </w:numPr>
      </w:pPr>
      <w:r w:rsidRPr="007D4E8A">
        <w:t>Kui taotletakse selliste õppeainete arvestamist valik- või vabaainetena, mis on juba kantud mõne eelmise õppeastme õppekava läbimist tõendava diplomiga koos väljastatud akadeemilisele õiendile, saab neid valik- või vabaainetena arvestada õppekavas ettenähtud mahus juhul, kui eelmise õppeastme õppekava on läbitud õppekava nominaalmahust suuremas mahus. Seejuures ei arvestata õppeaineid valik- või vabaaineteks suuremas mahus kui eelmise õppeastme õppekava nominaalmahtu ületav osa. Kohustuslike õppeainete arvestamisel mahupiiranguid ei ole.</w:t>
      </w:r>
      <w:r w:rsidR="00195A2F" w:rsidRPr="007D4E8A">
        <w:t xml:space="preserve"> [jõustunud 01.08.2025]</w:t>
      </w:r>
    </w:p>
    <w:p w14:paraId="45D1E73B" w14:textId="42A2B8FE" w:rsidR="00C60634" w:rsidRPr="00C956B1" w:rsidRDefault="00C60634" w:rsidP="00C60634">
      <w:pPr>
        <w:pStyle w:val="Loetelum"/>
        <w:numPr>
          <w:ilvl w:val="0"/>
          <w:numId w:val="4"/>
        </w:numPr>
      </w:pPr>
      <w:r>
        <w:t>Nõustamise ja hindamise korraldamine</w:t>
      </w:r>
    </w:p>
    <w:p w14:paraId="20A094DB" w14:textId="22B631D7" w:rsidR="00C60634" w:rsidRDefault="00C60634" w:rsidP="00C60634">
      <w:pPr>
        <w:pStyle w:val="Bodym"/>
        <w:numPr>
          <w:ilvl w:val="1"/>
          <w:numId w:val="4"/>
        </w:numPr>
      </w:pPr>
      <w:r>
        <w:t>Üldist i</w:t>
      </w:r>
      <w:r w:rsidRPr="00A86603">
        <w:t xml:space="preserve">nformatsiooni </w:t>
      </w:r>
      <w:r>
        <w:t xml:space="preserve">VÕTA rakendamise kohta </w:t>
      </w:r>
      <w:r w:rsidRPr="00A86603">
        <w:t xml:space="preserve">annab </w:t>
      </w:r>
      <w:proofErr w:type="spellStart"/>
      <w:r>
        <w:t>VÕTA-t</w:t>
      </w:r>
      <w:proofErr w:type="spellEnd"/>
      <w:r>
        <w:t xml:space="preserve"> </w:t>
      </w:r>
      <w:r w:rsidRPr="00A86603">
        <w:t xml:space="preserve">taotlevale isikule (edaspidi </w:t>
      </w:r>
      <w:r w:rsidRPr="006C2122">
        <w:rPr>
          <w:i/>
        </w:rPr>
        <w:t>taotleja</w:t>
      </w:r>
      <w:r>
        <w:t>) õppeosakonna spetsialist.</w:t>
      </w:r>
    </w:p>
    <w:p w14:paraId="4B7B67E8" w14:textId="021DDB49" w:rsidR="00C60634" w:rsidRPr="00C21285" w:rsidRDefault="00C60634" w:rsidP="00C60634">
      <w:pPr>
        <w:pStyle w:val="Bodym"/>
        <w:numPr>
          <w:ilvl w:val="1"/>
          <w:numId w:val="4"/>
        </w:numPr>
      </w:pPr>
      <w:r>
        <w:t xml:space="preserve">VÕTA nõustamist teaduskonnas </w:t>
      </w:r>
      <w:r w:rsidRPr="009541E7">
        <w:t>viib läbi dekaani nimetatud isik</w:t>
      </w:r>
      <w:r>
        <w:t>(</w:t>
      </w:r>
      <w:proofErr w:type="spellStart"/>
      <w:r>
        <w:t>ud</w:t>
      </w:r>
      <w:proofErr w:type="spellEnd"/>
      <w:r>
        <w:t>)</w:t>
      </w:r>
      <w:r w:rsidRPr="009541E7">
        <w:t xml:space="preserve"> </w:t>
      </w:r>
      <w:r>
        <w:t xml:space="preserve">(edaspidi </w:t>
      </w:r>
      <w:r w:rsidRPr="00015EB2">
        <w:rPr>
          <w:i/>
        </w:rPr>
        <w:t>VÕTA nõustaja</w:t>
      </w:r>
      <w:r>
        <w:t>) ja hindamist</w:t>
      </w:r>
      <w:r w:rsidRPr="00C21285">
        <w:t xml:space="preserve"> teaduskonnas viib läbi dekaani nimetatud isik</w:t>
      </w:r>
      <w:r>
        <w:t>(</w:t>
      </w:r>
      <w:proofErr w:type="spellStart"/>
      <w:r>
        <w:t>ud</w:t>
      </w:r>
      <w:proofErr w:type="spellEnd"/>
      <w:r>
        <w:t>)</w:t>
      </w:r>
      <w:r w:rsidRPr="00C21285">
        <w:t xml:space="preserve"> (edaspidi </w:t>
      </w:r>
      <w:r w:rsidRPr="008D3D9C">
        <w:rPr>
          <w:i/>
        </w:rPr>
        <w:t>VÕTA hindaja</w:t>
      </w:r>
      <w:r w:rsidRPr="00C21285">
        <w:t>)</w:t>
      </w:r>
      <w:r>
        <w:t xml:space="preserve">. Eeskirja </w:t>
      </w:r>
      <w:r w:rsidRPr="00C21285">
        <w:t xml:space="preserve">§ </w:t>
      </w:r>
      <w:r>
        <w:t>4</w:t>
      </w:r>
      <w:r w:rsidRPr="00C21285">
        <w:t xml:space="preserve"> lõigetes </w:t>
      </w:r>
      <w:r>
        <w:t>7</w:t>
      </w:r>
      <w:r w:rsidRPr="00C21285">
        <w:t xml:space="preserve"> ja </w:t>
      </w:r>
      <w:r>
        <w:t>8</w:t>
      </w:r>
      <w:r w:rsidRPr="00C21285">
        <w:t xml:space="preserve"> nimetatud juhtudel moodustab dekaan VÕTA hindamise</w:t>
      </w:r>
      <w:r w:rsidR="00FB58A3">
        <w:t>ks</w:t>
      </w:r>
      <w:r w:rsidRPr="00C21285">
        <w:t xml:space="preserve"> komisjoni.</w:t>
      </w:r>
    </w:p>
    <w:p w14:paraId="584DFAA8" w14:textId="77777777" w:rsidR="00C60634" w:rsidRDefault="00C60634" w:rsidP="00C60634">
      <w:pPr>
        <w:pStyle w:val="Bodym"/>
        <w:numPr>
          <w:ilvl w:val="1"/>
          <w:numId w:val="4"/>
        </w:numPr>
      </w:pPr>
      <w:r w:rsidRPr="00441A48">
        <w:t xml:space="preserve">Õppeprorektor moodustab VÕTA </w:t>
      </w:r>
      <w:r>
        <w:t>n</w:t>
      </w:r>
      <w:r w:rsidRPr="00441A48">
        <w:t xml:space="preserve">õukoja teaduskondade, õppeosakonna, avatud ülikooli ja üliõpilaste esindajatest. Üliõpilaste esindaja </w:t>
      </w:r>
      <w:r>
        <w:t xml:space="preserve">nimetab </w:t>
      </w:r>
      <w:r w:rsidRPr="00441A48">
        <w:t xml:space="preserve">VÕTA </w:t>
      </w:r>
      <w:r>
        <w:t>n</w:t>
      </w:r>
      <w:r w:rsidRPr="00441A48">
        <w:t>õukotta üliõpilasesindus.</w:t>
      </w:r>
    </w:p>
    <w:p w14:paraId="4295F4E5" w14:textId="4E7228F4" w:rsidR="00C60634" w:rsidRDefault="00C60634" w:rsidP="00C60634">
      <w:pPr>
        <w:pStyle w:val="Bodym"/>
        <w:numPr>
          <w:ilvl w:val="1"/>
          <w:numId w:val="4"/>
        </w:numPr>
      </w:pPr>
      <w:r w:rsidRPr="00A86603">
        <w:t xml:space="preserve">VÕTA </w:t>
      </w:r>
      <w:r>
        <w:t>n</w:t>
      </w:r>
      <w:r w:rsidRPr="00A86603">
        <w:t>õukoja ülesan</w:t>
      </w:r>
      <w:r>
        <w:t xml:space="preserve">deks </w:t>
      </w:r>
      <w:r w:rsidRPr="00A86603">
        <w:t>on VÕTA rakendam</w:t>
      </w:r>
      <w:r>
        <w:t xml:space="preserve">ise ühtlase taseme tagamine, </w:t>
      </w:r>
      <w:r w:rsidRPr="00121CFC">
        <w:t xml:space="preserve">VÕTA </w:t>
      </w:r>
      <w:proofErr w:type="spellStart"/>
      <w:r w:rsidRPr="00121CFC">
        <w:t>üldküsimus</w:t>
      </w:r>
      <w:r>
        <w:t>te</w:t>
      </w:r>
      <w:proofErr w:type="spellEnd"/>
      <w:r>
        <w:t xml:space="preserve"> otsustamine, </w:t>
      </w:r>
      <w:proofErr w:type="spellStart"/>
      <w:r>
        <w:t>VÕTA-ga</w:t>
      </w:r>
      <w:proofErr w:type="spellEnd"/>
      <w:r>
        <w:t xml:space="preserve"> seotud juhtumite analüüsimine ja ettepanekute tegemine eeskirja muutmiseks.</w:t>
      </w:r>
    </w:p>
    <w:p w14:paraId="0DE0C452" w14:textId="779FCD16" w:rsidR="00C60634" w:rsidRPr="00706A4E" w:rsidRDefault="00C60634" w:rsidP="00C60634">
      <w:pPr>
        <w:pStyle w:val="Loetelum"/>
        <w:numPr>
          <w:ilvl w:val="0"/>
          <w:numId w:val="4"/>
        </w:numPr>
      </w:pPr>
      <w:r w:rsidRPr="00706A4E">
        <w:lastRenderedPageBreak/>
        <w:t>Taotluse esitamine ja menetlemine õppekava täitmisel</w:t>
      </w:r>
    </w:p>
    <w:p w14:paraId="02D82A13" w14:textId="1BA7E882" w:rsidR="00C60634" w:rsidRDefault="00C60634" w:rsidP="00C60634">
      <w:pPr>
        <w:pStyle w:val="Bodym"/>
        <w:numPr>
          <w:ilvl w:val="1"/>
          <w:numId w:val="4"/>
        </w:numPr>
      </w:pPr>
      <w:r>
        <w:t>Taotleja saab t</w:t>
      </w:r>
      <w:r w:rsidRPr="00706A4E">
        <w:t>aotleda tasemeõppe õppeainete, täiendus</w:t>
      </w:r>
      <w:r>
        <w:t>koolitusest,</w:t>
      </w:r>
      <w:r w:rsidRPr="00706A4E">
        <w:t xml:space="preserve"> töökogemusest </w:t>
      </w:r>
      <w:r>
        <w:t xml:space="preserve">või iseseisvalt </w:t>
      </w:r>
      <w:r w:rsidRPr="00706A4E">
        <w:t>õpitu arvestamist õppekava täitmise</w:t>
      </w:r>
      <w:r>
        <w:t>l vastavalt</w:t>
      </w:r>
      <w:r w:rsidR="00B1334D">
        <w:t xml:space="preserve"> tema</w:t>
      </w:r>
      <w:r>
        <w:t xml:space="preserve"> esitatud taotlusele</w:t>
      </w:r>
      <w:r w:rsidR="00B1334D">
        <w:t xml:space="preserve"> (edaspidi VÕTA taotlus)</w:t>
      </w:r>
      <w:r>
        <w:t>.</w:t>
      </w:r>
    </w:p>
    <w:p w14:paraId="39D2DBCA" w14:textId="631C7025" w:rsidR="00C60634" w:rsidRPr="0001730D" w:rsidRDefault="00B1334D" w:rsidP="00C60634">
      <w:pPr>
        <w:pStyle w:val="Bodym"/>
        <w:numPr>
          <w:ilvl w:val="1"/>
          <w:numId w:val="4"/>
        </w:numPr>
      </w:pPr>
      <w:r>
        <w:t xml:space="preserve">VÕTA taotlus </w:t>
      </w:r>
      <w:r w:rsidR="00C60634" w:rsidRPr="0001730D">
        <w:t>koosneb:</w:t>
      </w:r>
    </w:p>
    <w:p w14:paraId="6946B9C3" w14:textId="77777777" w:rsidR="00C60634" w:rsidRPr="00483E0E" w:rsidRDefault="00C60634" w:rsidP="00C60634">
      <w:pPr>
        <w:pStyle w:val="Bodym1"/>
        <w:numPr>
          <w:ilvl w:val="2"/>
          <w:numId w:val="4"/>
        </w:numPr>
      </w:pPr>
      <w:r>
        <w:t xml:space="preserve"> taotleja isikuandmetest</w:t>
      </w:r>
      <w:r w:rsidRPr="00483E0E">
        <w:t>;</w:t>
      </w:r>
    </w:p>
    <w:p w14:paraId="59515577" w14:textId="752B5C31" w:rsidR="00C60634" w:rsidRPr="0001730D" w:rsidRDefault="007A41C3" w:rsidP="00C60634">
      <w:pPr>
        <w:pStyle w:val="Bodym1"/>
        <w:numPr>
          <w:ilvl w:val="2"/>
          <w:numId w:val="4"/>
        </w:numPr>
      </w:pPr>
      <w:r>
        <w:t xml:space="preserve">taotluse sisuks olevate </w:t>
      </w:r>
      <w:r w:rsidR="00FB58A3">
        <w:t xml:space="preserve">õppekava </w:t>
      </w:r>
      <w:r w:rsidR="00C60634">
        <w:t xml:space="preserve">õppeainete loetelust ja </w:t>
      </w:r>
      <w:r w:rsidR="00FB58A3">
        <w:t xml:space="preserve">nende </w:t>
      </w:r>
      <w:r w:rsidR="00C60634">
        <w:t>täitmis</w:t>
      </w:r>
      <w:r w:rsidR="00FB58A3">
        <w:t>eks</w:t>
      </w:r>
      <w:r>
        <w:t xml:space="preserve"> kasutatavatest andmetest</w:t>
      </w:r>
      <w:r w:rsidR="00C60634" w:rsidRPr="0001730D">
        <w:t>;</w:t>
      </w:r>
    </w:p>
    <w:p w14:paraId="20489817" w14:textId="2D795BC7" w:rsidR="00C60634" w:rsidRPr="00706A4E" w:rsidRDefault="007A41C3" w:rsidP="00C60634">
      <w:pPr>
        <w:pStyle w:val="Bodym1"/>
        <w:numPr>
          <w:ilvl w:val="2"/>
          <w:numId w:val="4"/>
        </w:numPr>
      </w:pPr>
      <w:r>
        <w:t xml:space="preserve">taotletavate </w:t>
      </w:r>
      <w:r w:rsidR="00FB58A3">
        <w:t>õppeainete õpiväljundite täitmis</w:t>
      </w:r>
      <w:r>
        <w:t>eks</w:t>
      </w:r>
      <w:r w:rsidR="00DF010D">
        <w:t xml:space="preserve"> </w:t>
      </w:r>
      <w:r>
        <w:t>esitatud</w:t>
      </w:r>
      <w:r w:rsidR="00FB58A3">
        <w:t xml:space="preserve"> </w:t>
      </w:r>
      <w:r w:rsidR="00C60634" w:rsidRPr="00483E0E">
        <w:t>tõendusmaterjali</w:t>
      </w:r>
      <w:r w:rsidR="00FB58A3">
        <w:t>de</w:t>
      </w:r>
      <w:r w:rsidR="00C60634" w:rsidRPr="00483E0E">
        <w:t>st.</w:t>
      </w:r>
    </w:p>
    <w:p w14:paraId="1BFF6660" w14:textId="488BC139" w:rsidR="00C60634" w:rsidRDefault="00C60634" w:rsidP="00C60634">
      <w:pPr>
        <w:pStyle w:val="Bodym"/>
        <w:numPr>
          <w:ilvl w:val="1"/>
          <w:numId w:val="4"/>
        </w:numPr>
      </w:pPr>
      <w:r>
        <w:t xml:space="preserve">Taotleja esitab VÕTA taotluse </w:t>
      </w:r>
      <w:proofErr w:type="spellStart"/>
      <w:r w:rsidRPr="00706A4E">
        <w:t>ÕIS</w:t>
      </w:r>
      <w:r>
        <w:t>-</w:t>
      </w:r>
      <w:r w:rsidRPr="00706A4E">
        <w:t>is</w:t>
      </w:r>
      <w:proofErr w:type="spellEnd"/>
      <w:r w:rsidRPr="00706A4E">
        <w:t>.</w:t>
      </w:r>
    </w:p>
    <w:p w14:paraId="3007374F" w14:textId="348087D7" w:rsidR="00C60634" w:rsidRPr="00706A4E" w:rsidRDefault="00C60634" w:rsidP="00C60634">
      <w:pPr>
        <w:pStyle w:val="Bodym"/>
        <w:numPr>
          <w:ilvl w:val="1"/>
          <w:numId w:val="4"/>
        </w:numPr>
      </w:pPr>
      <w:bookmarkStart w:id="0" w:name="_Hlk152081988"/>
      <w:r>
        <w:t>Lõputööd, lõpueksamit ja praktikat ei saa kasutada õppekava õppeainete arvestamiseks. Nendest õpitut on võimalik kasutada VÕTA taotluse eneseanalüüsis.</w:t>
      </w:r>
    </w:p>
    <w:bookmarkEnd w:id="0"/>
    <w:p w14:paraId="1FE1A1A6" w14:textId="0BFD5983" w:rsidR="00C60634" w:rsidRPr="00706A4E" w:rsidRDefault="00C60634" w:rsidP="00C60634">
      <w:pPr>
        <w:pStyle w:val="Bodym"/>
        <w:numPr>
          <w:ilvl w:val="1"/>
          <w:numId w:val="4"/>
        </w:numPr>
      </w:pPr>
      <w:r>
        <w:t>Tõendusmaterjali</w:t>
      </w:r>
      <w:r w:rsidR="007A41C3">
        <w:t>de</w:t>
      </w:r>
      <w:r>
        <w:t>ks on:</w:t>
      </w:r>
    </w:p>
    <w:p w14:paraId="2E032FE1" w14:textId="41E81EAB" w:rsidR="00C60634" w:rsidRDefault="00C60634" w:rsidP="00C60634">
      <w:pPr>
        <w:pStyle w:val="Bodym1"/>
        <w:numPr>
          <w:ilvl w:val="2"/>
          <w:numId w:val="4"/>
        </w:numPr>
      </w:pPr>
      <w:r w:rsidRPr="00706A4E">
        <w:t>varasemaid õpinguid, sh täiendus</w:t>
      </w:r>
      <w:r>
        <w:t>koolituse</w:t>
      </w:r>
      <w:r w:rsidRPr="00706A4E">
        <w:t xml:space="preserve"> läbimist tõendav diplom,</w:t>
      </w:r>
      <w:r w:rsidR="007A41C3">
        <w:t xml:space="preserve"> akadeemiline õiend,</w:t>
      </w:r>
      <w:r w:rsidRPr="00706A4E">
        <w:t xml:space="preserve"> tunnistus või muu haridust tõendav dokument</w:t>
      </w:r>
      <w:r>
        <w:t xml:space="preserve"> koos õpitud õppeaine õpiväljundite</w:t>
      </w:r>
      <w:r w:rsidR="007A41C3">
        <w:t>/sisukirjeldusega</w:t>
      </w:r>
      <w:r>
        <w:t>;</w:t>
      </w:r>
    </w:p>
    <w:p w14:paraId="4B5084A8" w14:textId="3B2377F9" w:rsidR="00C60634" w:rsidRPr="00A21CB7" w:rsidRDefault="00C60634" w:rsidP="00C60634">
      <w:pPr>
        <w:pStyle w:val="Bodym1"/>
        <w:numPr>
          <w:ilvl w:val="2"/>
          <w:numId w:val="4"/>
        </w:numPr>
      </w:pPr>
      <w:r w:rsidRPr="00A21CB7">
        <w:t>erialase töökogemuse või igapäevase tegevuse ja vaba aja raames toimunud õppimise korral eneseanalüüs ja muud asjassepuutuvad tõendusmaterjalid (ametijuhend, kutsetunnistus, näidiste mapp, viide valminud tööle vms).</w:t>
      </w:r>
    </w:p>
    <w:p w14:paraId="6AFE0A87" w14:textId="00ED5E9E" w:rsidR="00C60634" w:rsidRPr="00706A4E" w:rsidRDefault="00C60634" w:rsidP="00C60634">
      <w:pPr>
        <w:pStyle w:val="Bodym"/>
        <w:numPr>
          <w:ilvl w:val="1"/>
          <w:numId w:val="4"/>
        </w:numPr>
      </w:pPr>
      <w:r>
        <w:t>Taotleja vastutab tema poolt esitatud dokumentide ja muude materjalide tõele vastavuse eest.</w:t>
      </w:r>
    </w:p>
    <w:p w14:paraId="2EE6D3A8" w14:textId="2D53745E" w:rsidR="00C60634" w:rsidRPr="00706A4E" w:rsidRDefault="00C60634" w:rsidP="00C60634">
      <w:pPr>
        <w:pStyle w:val="Bodym"/>
        <w:numPr>
          <w:ilvl w:val="1"/>
          <w:numId w:val="4"/>
        </w:numPr>
      </w:pPr>
      <w:r>
        <w:t>Tasemeõpet tõendavad paberkandjal olevad dokumendid tuleb esitada originaaldokumentidena dekanaati. Välisriigi tasemeõppe kvalifikatsioonile tuleb lisaks esitada ENIC-NARIC keskuse hinnang.</w:t>
      </w:r>
    </w:p>
    <w:p w14:paraId="68529C2F" w14:textId="75A410FD" w:rsidR="00C60634" w:rsidRPr="00706A4E" w:rsidRDefault="00FC6635" w:rsidP="00C60634">
      <w:pPr>
        <w:pStyle w:val="Bodym"/>
        <w:numPr>
          <w:ilvl w:val="1"/>
          <w:numId w:val="4"/>
        </w:numPr>
      </w:pPr>
      <w:r>
        <w:t xml:space="preserve">VÕTA tasumäärad ja tasumise korra kehtestab õppeprorektor. </w:t>
      </w:r>
      <w:r w:rsidR="003162FF">
        <w:t>VÕTA t</w:t>
      </w:r>
      <w:r w:rsidR="00C60634">
        <w:t>aotluste hindamine on tasuline, v</w:t>
      </w:r>
      <w:r w:rsidR="00767B16">
        <w:t>.</w:t>
      </w:r>
      <w:r w:rsidR="00C60634">
        <w:t>a</w:t>
      </w:r>
      <w:r w:rsidR="003162FF">
        <w:t xml:space="preserve"> juhul, kui õppeprorektori korralduses</w:t>
      </w:r>
      <w:r w:rsidR="007B64FB">
        <w:t xml:space="preserve"> (edaspidi Korraldus)</w:t>
      </w:r>
      <w:r w:rsidR="003162FF">
        <w:t xml:space="preserve">  VÕTA</w:t>
      </w:r>
      <w:r w:rsidR="00C60634">
        <w:t xml:space="preserve"> tasumäärade</w:t>
      </w:r>
      <w:r w:rsidR="003162FF">
        <w:t xml:space="preserve"> kohta </w:t>
      </w:r>
      <w:r w:rsidR="00B9481D">
        <w:t xml:space="preserve">on </w:t>
      </w:r>
      <w:r w:rsidR="003162FF">
        <w:t>öeldud teisiti</w:t>
      </w:r>
      <w:r w:rsidR="00C60634">
        <w:t>.</w:t>
      </w:r>
    </w:p>
    <w:p w14:paraId="443EB434" w14:textId="1F2CC00B" w:rsidR="00C60634" w:rsidRPr="00706A4E" w:rsidRDefault="00C60634" w:rsidP="00C60634">
      <w:pPr>
        <w:pStyle w:val="Bodym"/>
        <w:numPr>
          <w:ilvl w:val="1"/>
          <w:numId w:val="4"/>
        </w:numPr>
      </w:pPr>
      <w:r>
        <w:t>Taotlejale esitatakse arve</w:t>
      </w:r>
      <w:r w:rsidR="00FC6635">
        <w:t xml:space="preserve"> VÕTA taotluse menetlemiseks</w:t>
      </w:r>
      <w:r w:rsidR="00EE049C">
        <w:t xml:space="preserve"> </w:t>
      </w:r>
      <w:r w:rsidR="00FC6635">
        <w:t>pärast selle</w:t>
      </w:r>
      <w:r w:rsidR="00EE049C">
        <w:t xml:space="preserve"> esitamist</w:t>
      </w:r>
      <w:r w:rsidR="00FC6635">
        <w:t xml:space="preserve"> </w:t>
      </w:r>
      <w:proofErr w:type="spellStart"/>
      <w:r w:rsidR="00FC6635">
        <w:t>ÕIS-is</w:t>
      </w:r>
      <w:proofErr w:type="spellEnd"/>
      <w:r>
        <w:t xml:space="preserve"> vastavalt </w:t>
      </w:r>
      <w:r w:rsidR="007B64FB">
        <w:t xml:space="preserve">Korraldusele. </w:t>
      </w:r>
      <w:r>
        <w:t>Pärast</w:t>
      </w:r>
      <w:r w:rsidR="00B9481D">
        <w:t xml:space="preserve"> taotleja poolt arve tasumist ja</w:t>
      </w:r>
      <w:r>
        <w:t xml:space="preserve"> tasu laekumist TalTech-i arvelduskontole edastab VÕTA nõustaja taotluse VÕTA hindajale. Arve tähtajaks tasumata jätmisel </w:t>
      </w:r>
      <w:r w:rsidR="00B9481D">
        <w:t xml:space="preserve">VÕTA </w:t>
      </w:r>
      <w:r>
        <w:t>taotlust ei menetleta ja see</w:t>
      </w:r>
      <w:r w:rsidR="00B9481D">
        <w:t xml:space="preserve"> loetakse kehtetuks.</w:t>
      </w:r>
    </w:p>
    <w:p w14:paraId="349415C5" w14:textId="28039E1B" w:rsidR="00C60634" w:rsidRPr="00560BC0" w:rsidRDefault="00C60634" w:rsidP="00C60634">
      <w:pPr>
        <w:pStyle w:val="Bodym"/>
        <w:numPr>
          <w:ilvl w:val="1"/>
          <w:numId w:val="4"/>
        </w:numPr>
      </w:pPr>
      <w:r>
        <w:t xml:space="preserve">VÕTA hindaja vaatab </w:t>
      </w:r>
      <w:r w:rsidR="00B9481D">
        <w:t xml:space="preserve">VÕTA </w:t>
      </w:r>
      <w:r>
        <w:t>taotluse läbi ja teeb hindamisotsuse 30 kalendripäeva jooksul</w:t>
      </w:r>
      <w:r w:rsidR="007B64FB">
        <w:t xml:space="preserve"> taotluse saamisest</w:t>
      </w:r>
      <w:r>
        <w:t xml:space="preserve">. VÕTA hindajal </w:t>
      </w:r>
      <w:r w:rsidR="007B64FB">
        <w:t xml:space="preserve">on </w:t>
      </w:r>
      <w:r>
        <w:t xml:space="preserve">õigus nõuda taotlejalt </w:t>
      </w:r>
      <w:r w:rsidR="00EE049C">
        <w:t>lisadokumentide esitamist</w:t>
      </w:r>
      <w:r w:rsidR="007B64FB">
        <w:t>,</w:t>
      </w:r>
      <w:r w:rsidR="00EE049C">
        <w:t xml:space="preserve"> </w:t>
      </w:r>
      <w:r>
        <w:t>testi, arvestuse või eksami sooritamist</w:t>
      </w:r>
      <w:r w:rsidR="007B64FB">
        <w:t>, samuti</w:t>
      </w:r>
      <w:r>
        <w:t xml:space="preserve"> intervjuul osalemist. Hindamisotsuse tegemiseks ettenähtud periood pikeneb sel juhul vastavalt lisatoimingute tegemiseks kulunud ajale. Nii</w:t>
      </w:r>
      <w:r w:rsidR="00070E8F">
        <w:t xml:space="preserve"> VÕTA</w:t>
      </w:r>
      <w:r>
        <w:t xml:space="preserve"> taotluse rahuldamisel kui ka rahuldamata jätmisel lisab VÕTA hindaja </w:t>
      </w:r>
      <w:r w:rsidR="00070E8F">
        <w:t xml:space="preserve">VÕTA </w:t>
      </w:r>
      <w:r>
        <w:t xml:space="preserve">taotlusele tehtud </w:t>
      </w:r>
      <w:r w:rsidR="00DA2A00">
        <w:t>hindamis</w:t>
      </w:r>
      <w:r>
        <w:t>otsuse</w:t>
      </w:r>
      <w:r w:rsidR="007B64FB">
        <w:t xml:space="preserve"> koos</w:t>
      </w:r>
      <w:r>
        <w:t xml:space="preserve"> põhjenduse</w:t>
      </w:r>
      <w:r w:rsidR="007B64FB">
        <w:t>ga</w:t>
      </w:r>
      <w:r>
        <w:t xml:space="preserve">. </w:t>
      </w:r>
      <w:r w:rsidR="00697BFE">
        <w:t xml:space="preserve">VÕTA </w:t>
      </w:r>
      <w:r>
        <w:t xml:space="preserve">taotluse alusel tehtud positiivne hindamisotsus vormistatakse </w:t>
      </w:r>
      <w:proofErr w:type="spellStart"/>
      <w:r>
        <w:t>ÕIS-is</w:t>
      </w:r>
      <w:proofErr w:type="spellEnd"/>
      <w:r>
        <w:t xml:space="preserve"> VÕTA nõustaja poolt õppekava täitmisena. Taotlejale, kes ei ole üliõpilane, vormistatakse hindamise otsus </w:t>
      </w:r>
      <w:proofErr w:type="spellStart"/>
      <w:r>
        <w:t>ÕIS</w:t>
      </w:r>
      <w:r w:rsidR="00697BFE">
        <w:t>-</w:t>
      </w:r>
      <w:r>
        <w:t>is</w:t>
      </w:r>
      <w:proofErr w:type="spellEnd"/>
      <w:r>
        <w:t>.</w:t>
      </w:r>
    </w:p>
    <w:p w14:paraId="3013E91B" w14:textId="6DF7EB59" w:rsidR="00C60634" w:rsidRPr="00706A4E" w:rsidRDefault="00EE049C" w:rsidP="00C60634">
      <w:pPr>
        <w:pStyle w:val="Bodym"/>
        <w:numPr>
          <w:ilvl w:val="1"/>
          <w:numId w:val="4"/>
        </w:numPr>
      </w:pPr>
      <w:r>
        <w:t>Üliõpilase j</w:t>
      </w:r>
      <w:r w:rsidR="00C60634">
        <w:t xml:space="preserve">ooksva semestri õppekoormusesse  arvestatakse sügissemestril enne 30. novembrit ja kevadsemestril enne 30. aprilli esitatud </w:t>
      </w:r>
      <w:r w:rsidR="00070E8F">
        <w:t xml:space="preserve">VÕTA </w:t>
      </w:r>
      <w:r w:rsidR="00C60634">
        <w:t xml:space="preserve">taotluse alusel positiivse </w:t>
      </w:r>
      <w:r w:rsidR="00697BFE">
        <w:t>hindamis</w:t>
      </w:r>
      <w:r w:rsidR="00C60634">
        <w:t xml:space="preserve">otsuse saanud õppeained. Nimetatud tähtaegu ei kohaldata semestri jooksul külalisüliõpilasena, </w:t>
      </w:r>
      <w:proofErr w:type="spellStart"/>
      <w:r w:rsidR="00C60634">
        <w:t>välisõppes</w:t>
      </w:r>
      <w:proofErr w:type="spellEnd"/>
      <w:r w:rsidR="00C60634">
        <w:t xml:space="preserve"> või TalTech-i avatud õppes sooritatud õppeainetele.</w:t>
      </w:r>
    </w:p>
    <w:p w14:paraId="06E26FAD" w14:textId="77777777" w:rsidR="00C60634" w:rsidRPr="00F70798" w:rsidRDefault="00C60634" w:rsidP="00C60634">
      <w:pPr>
        <w:pStyle w:val="Bodym"/>
        <w:numPr>
          <w:ilvl w:val="1"/>
          <w:numId w:val="4"/>
        </w:numPr>
      </w:pPr>
      <w:r>
        <w:t>VÕTA nõustaja:</w:t>
      </w:r>
    </w:p>
    <w:p w14:paraId="37E30289" w14:textId="260F5C57" w:rsidR="00C60634" w:rsidRPr="00F70798" w:rsidRDefault="00C60634" w:rsidP="00C60634">
      <w:pPr>
        <w:pStyle w:val="Bodym1"/>
        <w:numPr>
          <w:ilvl w:val="2"/>
          <w:numId w:val="4"/>
        </w:numPr>
      </w:pPr>
      <w:r w:rsidRPr="00F70798">
        <w:t>kontrollib esitatud</w:t>
      </w:r>
      <w:r w:rsidR="00070E8F">
        <w:t xml:space="preserve"> VÕTA</w:t>
      </w:r>
      <w:r w:rsidRPr="00F70798">
        <w:t xml:space="preserve"> taotlust, vajadusel laseb taotlejal </w:t>
      </w:r>
      <w:r w:rsidR="00070E8F">
        <w:t>seda</w:t>
      </w:r>
      <w:r w:rsidR="00697BFE">
        <w:t xml:space="preserve"> </w:t>
      </w:r>
      <w:r w:rsidR="00EE049C">
        <w:t xml:space="preserve">muuta või </w:t>
      </w:r>
      <w:r w:rsidRPr="00F70798">
        <w:t>täiendada;</w:t>
      </w:r>
    </w:p>
    <w:p w14:paraId="1AE50E93" w14:textId="77777777" w:rsidR="00C60634" w:rsidRPr="00F70798" w:rsidRDefault="00C60634" w:rsidP="00C60634">
      <w:pPr>
        <w:pStyle w:val="Bodym1"/>
        <w:numPr>
          <w:ilvl w:val="2"/>
          <w:numId w:val="4"/>
        </w:numPr>
      </w:pPr>
      <w:r w:rsidRPr="00F70798">
        <w:t>esitab arve ning kontrollib arve tasumist;</w:t>
      </w:r>
    </w:p>
    <w:p w14:paraId="258437F8" w14:textId="322CB342" w:rsidR="00A6785F" w:rsidRDefault="00C60634" w:rsidP="00A6785F">
      <w:pPr>
        <w:pStyle w:val="Bodym1"/>
        <w:numPr>
          <w:ilvl w:val="2"/>
          <w:numId w:val="4"/>
        </w:numPr>
      </w:pPr>
      <w:r w:rsidRPr="00F70798">
        <w:t>edastab korrektselt täidetud</w:t>
      </w:r>
      <w:r w:rsidR="00697BFE">
        <w:t xml:space="preserve"> VÕTA</w:t>
      </w:r>
      <w:r>
        <w:t xml:space="preserve"> </w:t>
      </w:r>
      <w:r w:rsidRPr="00F70798">
        <w:t>taotluse</w:t>
      </w:r>
      <w:r w:rsidR="00697BFE">
        <w:t xml:space="preserve"> </w:t>
      </w:r>
      <w:r w:rsidR="00070E8F">
        <w:t>VÕTA</w:t>
      </w:r>
      <w:r w:rsidRPr="00F70798">
        <w:t xml:space="preserve"> hindajale;</w:t>
      </w:r>
    </w:p>
    <w:p w14:paraId="19757D9C" w14:textId="4E6F89BB" w:rsidR="00A6785F" w:rsidRDefault="00C60634" w:rsidP="00A6785F">
      <w:pPr>
        <w:pStyle w:val="Bodym1"/>
        <w:numPr>
          <w:ilvl w:val="2"/>
          <w:numId w:val="4"/>
        </w:numPr>
      </w:pPr>
      <w:r w:rsidRPr="00F70798">
        <w:t xml:space="preserve">kinnitab ja registreerib </w:t>
      </w:r>
      <w:proofErr w:type="spellStart"/>
      <w:r w:rsidRPr="00F70798">
        <w:t>ÕIS</w:t>
      </w:r>
      <w:r>
        <w:t>-</w:t>
      </w:r>
      <w:r w:rsidRPr="00F70798">
        <w:t>is</w:t>
      </w:r>
      <w:proofErr w:type="spellEnd"/>
      <w:r>
        <w:t xml:space="preserve"> taotleja</w:t>
      </w:r>
      <w:r w:rsidRPr="00F70798">
        <w:t xml:space="preserve"> VÕTA taotluse selle täielikul või osalisel rahuldamisel.</w:t>
      </w:r>
      <w:r w:rsidR="00A6785F">
        <w:t xml:space="preserve"> H</w:t>
      </w:r>
      <w:r w:rsidRPr="00F70798">
        <w:t xml:space="preserve">indamisotsus on </w:t>
      </w:r>
      <w:r>
        <w:t xml:space="preserve">taotlejale </w:t>
      </w:r>
      <w:r w:rsidRPr="00F70798">
        <w:t xml:space="preserve">kättesaadav </w:t>
      </w:r>
      <w:proofErr w:type="spellStart"/>
      <w:r w:rsidRPr="00F70798">
        <w:t>ÕIS</w:t>
      </w:r>
      <w:r>
        <w:t>-</w:t>
      </w:r>
      <w:r w:rsidRPr="00F70798">
        <w:t>is</w:t>
      </w:r>
      <w:proofErr w:type="spellEnd"/>
      <w:r w:rsidR="00070E8F">
        <w:t>;</w:t>
      </w:r>
    </w:p>
    <w:p w14:paraId="2DEE225E" w14:textId="15452A53" w:rsidR="00C60634" w:rsidRPr="00F70798" w:rsidRDefault="00C60634" w:rsidP="00A6785F">
      <w:pPr>
        <w:pStyle w:val="Bodym"/>
        <w:numPr>
          <w:ilvl w:val="1"/>
          <w:numId w:val="4"/>
        </w:numPr>
      </w:pPr>
      <w:r>
        <w:t>hindamisotsus taotlejale, kes ei ole üliõpilane, kehtib kuni</w:t>
      </w:r>
      <w:r w:rsidR="00697BFE">
        <w:t xml:space="preserve"> VÕTA</w:t>
      </w:r>
      <w:r>
        <w:t xml:space="preserve"> taotluse aluseks olnud õppekava versioonil toimub õppetöö. Üliõpilaseks immatrikuleerimise järel esitab taotleja VÕTA nõustajale </w:t>
      </w:r>
      <w:r w:rsidR="000F20D9">
        <w:t xml:space="preserve">kirjalikult </w:t>
      </w:r>
      <w:r>
        <w:t xml:space="preserve">soovi vormistada </w:t>
      </w:r>
      <w:proofErr w:type="spellStart"/>
      <w:r>
        <w:t>ÕIS-is</w:t>
      </w:r>
      <w:proofErr w:type="spellEnd"/>
      <w:r>
        <w:t xml:space="preserve"> õppekava täitmine hindamisotsuse alusel.</w:t>
      </w:r>
    </w:p>
    <w:p w14:paraId="23A93ADB" w14:textId="77777777" w:rsidR="00C60634" w:rsidRDefault="00C60634" w:rsidP="00C60634">
      <w:pPr>
        <w:pStyle w:val="Loetelum"/>
        <w:numPr>
          <w:ilvl w:val="0"/>
          <w:numId w:val="4"/>
        </w:numPr>
      </w:pPr>
      <w:r>
        <w:t>Hindamise üldpõhimõtted õppekava täitmisel</w:t>
      </w:r>
    </w:p>
    <w:p w14:paraId="2E439AB5" w14:textId="6CFFB6CC" w:rsidR="00C60634" w:rsidRDefault="00C60634" w:rsidP="00C60634">
      <w:pPr>
        <w:pStyle w:val="Bodym"/>
        <w:numPr>
          <w:ilvl w:val="1"/>
          <w:numId w:val="4"/>
        </w:numPr>
      </w:pPr>
      <w:r>
        <w:t>Tasemeõppes läbitud varasemate õpingute arvestamise</w:t>
      </w:r>
      <w:r w:rsidR="001F41E7">
        <w:t>l</w:t>
      </w:r>
      <w:r>
        <w:t xml:space="preserve"> hinnatakse omandatud õpiväljundite sobivust õppekava täitmisel. Positiivse otsuse korral kantakse üliõpilase sooritustesse originaalsooritus. Juhul kui teise õppeasutuse hindamissüsteem erineb TalTech-</w:t>
      </w:r>
      <w:proofErr w:type="spellStart"/>
      <w:r>
        <w:t>is</w:t>
      </w:r>
      <w:proofErr w:type="spellEnd"/>
      <w:r>
        <w:t xml:space="preserve"> kehtivast hindamissüsteemist, kasutatakse mitteeristavat hindamist, kus arvestamise korral on positiivne tulemus „arvestatud”. Välisriigi tasemeõppes läbitud õpingute arvestamise korral on positiivseks tulemuseks „arvestatud“.  Õppeosakond kannab väljaspool TalTech-i sooritatud õppeained (edaspidi “</w:t>
      </w:r>
      <w:proofErr w:type="spellStart"/>
      <w:r>
        <w:t>välisaine</w:t>
      </w:r>
      <w:proofErr w:type="spellEnd"/>
      <w:r>
        <w:t xml:space="preserve">”)  </w:t>
      </w:r>
      <w:proofErr w:type="spellStart"/>
      <w:r>
        <w:t>ÕIS-i</w:t>
      </w:r>
      <w:proofErr w:type="spellEnd"/>
      <w:r>
        <w:t xml:space="preserve"> </w:t>
      </w:r>
      <w:proofErr w:type="spellStart"/>
      <w:r>
        <w:t>välisainete</w:t>
      </w:r>
      <w:proofErr w:type="spellEnd"/>
      <w:r>
        <w:t xml:space="preserve"> </w:t>
      </w:r>
      <w:r>
        <w:lastRenderedPageBreak/>
        <w:t xml:space="preserve">registrisse ja seob need vastava kõrgkooliga. Välisriigi kõrgkoolide puhul märgitakse </w:t>
      </w:r>
      <w:proofErr w:type="spellStart"/>
      <w:r>
        <w:t>ÕIS-i</w:t>
      </w:r>
      <w:proofErr w:type="spellEnd"/>
      <w:r>
        <w:t xml:space="preserve"> ka riik. Kui </w:t>
      </w:r>
      <w:r w:rsidR="00070E8F">
        <w:t xml:space="preserve">VÕTA </w:t>
      </w:r>
      <w:r>
        <w:t>taotlusele lisatud dokumendis puudub õppeaine sooritamise kuupäev, loetakse selleks õpitulemuste ülekandmise kuupäev.</w:t>
      </w:r>
    </w:p>
    <w:p w14:paraId="7292DF9A" w14:textId="77E5B813" w:rsidR="00C60634" w:rsidRDefault="00C60634" w:rsidP="00C60634">
      <w:pPr>
        <w:pStyle w:val="Bodym"/>
        <w:numPr>
          <w:ilvl w:val="1"/>
          <w:numId w:val="4"/>
        </w:numPr>
      </w:pPr>
      <w:r>
        <w:t>Täienduskoolitusest või töökogemusest õpitu taotlemisel õppekava täitmise</w:t>
      </w:r>
      <w:r w:rsidR="00070E8F">
        <w:t>l</w:t>
      </w:r>
      <w:r>
        <w:t xml:space="preserve"> hinnatakse omandatud teadmiste vastavust õppekava täitmiseks sobivale õppeainele. Positiivse otsuse korral kantakse üliõpilase sooritustesse õppekava täitmiseks sobiv õppeaine. Täienduskoolituse arvestamisel õppekava täitmiseks võib arvestada üksikuid täiendusõppes läbitud õppeaineid eraldi või täiendusõppe kava tervikuna. Töökogemusest õpitut võib arvestada õppekava täitmiseks vastavas õppeaines. Hindamise tulemus märgitakse mitteeristava hindega „arvestatud”. Kuupäevaks märgitakse ülekandmise kuupäev.</w:t>
      </w:r>
    </w:p>
    <w:p w14:paraId="07990C96" w14:textId="42D3AD95" w:rsidR="00C60634" w:rsidRDefault="00C60634" w:rsidP="00C60634">
      <w:pPr>
        <w:pStyle w:val="Bodym"/>
        <w:numPr>
          <w:ilvl w:val="1"/>
          <w:numId w:val="4"/>
        </w:numPr>
      </w:pPr>
      <w:r>
        <w:t>Täienduskoolitusega omandatud erialaste teadmiste taotlemisel õppekava täitmiseks doktoriõppes, milles puudub erialastele teadmistele vastav õppeaine, hinnatakse koolitusega saavutatud õpiväljundite sobivust õppekava või selle mooduli õpiväljunditega. Koolitusel omandatavad õpiväljundid peavad enne koolitusel osalemist olema heaks kiidetud nii doktorandi juhendaja kui programmijuhi poolt. Juhul kui doktorandi juhendaja ja programmijuht on sama isik, peab koolitusel omandatavad õpiväljundid enne koolitusel osalemist heaks kiitma ka dekaan. Koolituse maht, sisu ja suunitlus peavad doktorandi poolt olema selgelt tõendatavad. Kursuse maht peab olema EAP-des väljendatav või EAP-</w:t>
      </w:r>
      <w:proofErr w:type="spellStart"/>
      <w:r>
        <w:t>deks</w:t>
      </w:r>
      <w:proofErr w:type="spellEnd"/>
      <w:r>
        <w:t xml:space="preserve"> ümber arvutatav. Positiivse otsuse korral kantakse üliõpilase sooritustesse originaalsooritus, positiivseks tulemuseks on „arvestatud“.</w:t>
      </w:r>
    </w:p>
    <w:p w14:paraId="158490DD" w14:textId="77777777" w:rsidR="00C60634" w:rsidRDefault="00C60634" w:rsidP="00C60634">
      <w:pPr>
        <w:pStyle w:val="Bodym"/>
        <w:numPr>
          <w:ilvl w:val="1"/>
          <w:numId w:val="4"/>
        </w:numPr>
      </w:pPr>
      <w:r>
        <w:t xml:space="preserve">Kombineeritud VÕTA taotluse puhul on võimalik </w:t>
      </w:r>
      <w:r w:rsidRPr="004B6B47">
        <w:t>arvestada tasemeõppes ja täiendusõppes soorita</w:t>
      </w:r>
      <w:r>
        <w:t>tut või töökogemusest õpitut. Õpitu puhul hinnatakse omandatud teadmiste vastavust õppeainele, mis on sobiv õppekava täitmiseks. Positiivse hindamisotsuse korral kantakse üliõpilase sooritustesse õppekavajärgne õppeaine. Hindamise tulemus märgitakse mitteeristava hindega „arvestatud”. Kuupäevaks märgitakse ülekandmise kuupäev.</w:t>
      </w:r>
    </w:p>
    <w:p w14:paraId="19B634DF" w14:textId="77777777" w:rsidR="00C60634" w:rsidRPr="00C22E56" w:rsidRDefault="00C60634" w:rsidP="00C60634">
      <w:pPr>
        <w:pStyle w:val="Bodym"/>
        <w:numPr>
          <w:ilvl w:val="1"/>
          <w:numId w:val="4"/>
        </w:numPr>
      </w:pPr>
      <w:r w:rsidRPr="007734A8">
        <w:t xml:space="preserve">Täiendusõppe, töökogemusest ja VÕTA eri liikidest kombineeritud õpitu arvestamise taotlemisel </w:t>
      </w:r>
      <w:r w:rsidRPr="00C22E56">
        <w:t>vabaõppe mooduli täitmiseks hinnatakse vastavust aineregistris oleva</w:t>
      </w:r>
      <w:r>
        <w:t>le</w:t>
      </w:r>
      <w:r w:rsidRPr="00C22E56">
        <w:t xml:space="preserve"> õppeainele.</w:t>
      </w:r>
      <w:r>
        <w:t xml:space="preserve"> </w:t>
      </w:r>
      <w:r w:rsidRPr="00335695">
        <w:t>VÕTA</w:t>
      </w:r>
      <w:r>
        <w:t xml:space="preserve"> h</w:t>
      </w:r>
      <w:r w:rsidRPr="00335695">
        <w:t>indaja nimi</w:t>
      </w:r>
      <w:r>
        <w:t xml:space="preserve"> on nähtav </w:t>
      </w:r>
      <w:proofErr w:type="spellStart"/>
      <w:r>
        <w:t>ÕIS-is</w:t>
      </w:r>
      <w:proofErr w:type="spellEnd"/>
      <w:r w:rsidRPr="00335695">
        <w:t>.</w:t>
      </w:r>
    </w:p>
    <w:p w14:paraId="7E170688" w14:textId="5A4A26F3" w:rsidR="00C60634" w:rsidRPr="007566A2" w:rsidRDefault="00C60634" w:rsidP="00C60634">
      <w:pPr>
        <w:pStyle w:val="Bodym"/>
        <w:numPr>
          <w:ilvl w:val="1"/>
          <w:numId w:val="4"/>
        </w:numPr>
      </w:pPr>
      <w:r w:rsidRPr="00560BC0">
        <w:t xml:space="preserve">VÕTA hindaja võib vajadusel kaasata </w:t>
      </w:r>
      <w:r w:rsidRPr="007566A2">
        <w:t>hindamis</w:t>
      </w:r>
      <w:r>
        <w:t>protsessi</w:t>
      </w:r>
      <w:r w:rsidRPr="007566A2">
        <w:t xml:space="preserve"> vastava valdkonna </w:t>
      </w:r>
      <w:r>
        <w:t xml:space="preserve">akadeemilise töötaja. </w:t>
      </w:r>
      <w:r w:rsidR="00A47C33">
        <w:t>VÕTA t</w:t>
      </w:r>
      <w:r w:rsidRPr="00560BC0">
        <w:t>aotlusele märgitakse sellisel juhul ka hinnangu andnud akadeemilise töötaja nimi ja arvamus.</w:t>
      </w:r>
    </w:p>
    <w:p w14:paraId="54628019" w14:textId="3177A3D1" w:rsidR="00C60634" w:rsidRPr="00C81A1B" w:rsidRDefault="00C60634" w:rsidP="00C60634">
      <w:pPr>
        <w:pStyle w:val="Bodym"/>
        <w:numPr>
          <w:ilvl w:val="1"/>
          <w:numId w:val="4"/>
        </w:numPr>
      </w:pPr>
      <w:r w:rsidRPr="00C81A1B">
        <w:t>Kui taotletakse bakalaureuse-, rakenduskõrgharidus-, integreeritud</w:t>
      </w:r>
      <w:r w:rsidR="00A47C33">
        <w:t xml:space="preserve"> bakalaureuse- ja magistriõppe</w:t>
      </w:r>
      <w:r w:rsidRPr="00C81A1B">
        <w:t xml:space="preserve"> või magistriõppe õppekava täitmist enam kui 50% mahus töökogemusest või iseseisvalt õpitu või täienduskoolituste või kombineeritud </w:t>
      </w:r>
      <w:proofErr w:type="spellStart"/>
      <w:r w:rsidRPr="00C81A1B">
        <w:t>VÕTA-ga</w:t>
      </w:r>
      <w:proofErr w:type="spellEnd"/>
      <w:r w:rsidRPr="00C81A1B">
        <w:t xml:space="preserve">, viib VÕTA hindamist läbi dekaani moodustatud VÕTA hindamise komisjon, </w:t>
      </w:r>
      <w:r>
        <w:t xml:space="preserve"> millesse kaasatakse </w:t>
      </w:r>
      <w:r w:rsidRPr="00C81A1B">
        <w:t>õppeosakonna esindaja.</w:t>
      </w:r>
    </w:p>
    <w:p w14:paraId="61D9201D" w14:textId="4DB7108F" w:rsidR="00C60634" w:rsidRDefault="00C60634" w:rsidP="00C60634">
      <w:pPr>
        <w:pStyle w:val="Bodym"/>
        <w:numPr>
          <w:ilvl w:val="1"/>
          <w:numId w:val="4"/>
        </w:numPr>
      </w:pPr>
      <w:r w:rsidRPr="00C81A1B">
        <w:t xml:space="preserve">Kui taotletakse doktoriõppe õppekava täitmist enam kui </w:t>
      </w:r>
      <w:r>
        <w:t xml:space="preserve">50% õppekavas olevate õppeainete mahust  </w:t>
      </w:r>
      <w:r w:rsidRPr="00C81A1B">
        <w:t>töökogemusest või iseseisvalt õpitu või täienduskoolitu</w:t>
      </w:r>
      <w:r>
        <w:t xml:space="preserve">ste või kombineeritud </w:t>
      </w:r>
      <w:proofErr w:type="spellStart"/>
      <w:r>
        <w:t>VÕTA-ga</w:t>
      </w:r>
      <w:proofErr w:type="spellEnd"/>
      <w:r>
        <w:t xml:space="preserve">, </w:t>
      </w:r>
      <w:r w:rsidRPr="00C81A1B">
        <w:t>viib VÕTA hindamist</w:t>
      </w:r>
      <w:r w:rsidRPr="00C22E56">
        <w:t xml:space="preserve"> </w:t>
      </w:r>
      <w:r>
        <w:t>läbi</w:t>
      </w:r>
      <w:r w:rsidRPr="00C22E56">
        <w:t xml:space="preserve"> dekaani moodustatud VÕTA hindamise komisjon,</w:t>
      </w:r>
      <w:r>
        <w:t xml:space="preserve"> millesse kaasatakse teadusosakonna esindaja.</w:t>
      </w:r>
    </w:p>
    <w:p w14:paraId="61B1DAFD" w14:textId="77777777" w:rsidR="00C60634" w:rsidRDefault="00C60634" w:rsidP="00C60634">
      <w:pPr>
        <w:pStyle w:val="Bodym"/>
        <w:numPr>
          <w:ilvl w:val="1"/>
          <w:numId w:val="4"/>
        </w:numPr>
      </w:pPr>
      <w:r>
        <w:t>VÕTA taotluse alusel kantakse üliõpilase sooritustesse õppekavas määratud mahust rohkem aineid juhul, kui:</w:t>
      </w:r>
    </w:p>
    <w:p w14:paraId="7F2B0FAC" w14:textId="77777777" w:rsidR="00C60634" w:rsidRDefault="00C60634" w:rsidP="00C60634">
      <w:pPr>
        <w:pStyle w:val="Bodym1"/>
        <w:numPr>
          <w:ilvl w:val="2"/>
          <w:numId w:val="4"/>
        </w:numPr>
      </w:pPr>
      <w:r>
        <w:t>õppeained sooritatakse vahetusüliõpilasena välisriigi kõrgkoolis;</w:t>
      </w:r>
    </w:p>
    <w:p w14:paraId="32052BAD" w14:textId="03031937" w:rsidR="00C60634" w:rsidRDefault="00C60634" w:rsidP="00C60634">
      <w:pPr>
        <w:pStyle w:val="Bodym1"/>
        <w:numPr>
          <w:ilvl w:val="2"/>
          <w:numId w:val="4"/>
        </w:numPr>
      </w:pPr>
      <w:r>
        <w:t>õppeained on sooritatud varasemalt</w:t>
      </w:r>
      <w:r w:rsidRPr="00C95A94">
        <w:t xml:space="preserve"> </w:t>
      </w:r>
      <w:r>
        <w:t>TalTech-</w:t>
      </w:r>
      <w:proofErr w:type="spellStart"/>
      <w:r>
        <w:t>is</w:t>
      </w:r>
      <w:proofErr w:type="spellEnd"/>
      <w:r>
        <w:t>.</w:t>
      </w:r>
    </w:p>
    <w:p w14:paraId="0B695ECC" w14:textId="69C523CC" w:rsidR="00C60634" w:rsidRDefault="00C60634" w:rsidP="00C60634">
      <w:pPr>
        <w:pStyle w:val="Bodym"/>
        <w:numPr>
          <w:ilvl w:val="1"/>
          <w:numId w:val="4"/>
        </w:numPr>
      </w:pPr>
      <w:r w:rsidRPr="006350F2">
        <w:t xml:space="preserve">Hindamisotsuse aluseks </w:t>
      </w:r>
      <w:r w:rsidR="00A47C33">
        <w:t xml:space="preserve">olevatest </w:t>
      </w:r>
      <w:r w:rsidRPr="006350F2">
        <w:t xml:space="preserve">dokumentidest peab </w:t>
      </w:r>
      <w:r>
        <w:t xml:space="preserve">olema </w:t>
      </w:r>
      <w:r w:rsidRPr="006350F2">
        <w:t>sel</w:t>
      </w:r>
      <w:r>
        <w:t xml:space="preserve">gelt ja üheselt mõistetav </w:t>
      </w:r>
      <w:r w:rsidRPr="006350F2">
        <w:t>otsuse kujunemine.</w:t>
      </w:r>
      <w:r>
        <w:t xml:space="preserve"> Hindamisotsuse tegemisel lähtutakse taotleja teadmiste ja oskuste vastavusest õppeaine või mooduli õpiväljunditele.</w:t>
      </w:r>
    </w:p>
    <w:p w14:paraId="64666E81" w14:textId="77777777" w:rsidR="00C60634" w:rsidRDefault="00C60634" w:rsidP="00C60634">
      <w:pPr>
        <w:pStyle w:val="Loetelum"/>
        <w:numPr>
          <w:ilvl w:val="0"/>
          <w:numId w:val="4"/>
        </w:numPr>
      </w:pPr>
      <w:r>
        <w:t>VÕTA rakendamine vastuvõtutingimuste täitmisel magistriõppesse kandideerimisel</w:t>
      </w:r>
    </w:p>
    <w:p w14:paraId="48AA461F" w14:textId="4AFB3C0D" w:rsidR="00C60634" w:rsidRPr="0001730D" w:rsidRDefault="00C60634" w:rsidP="00C60634">
      <w:pPr>
        <w:pStyle w:val="Bodym"/>
        <w:numPr>
          <w:ilvl w:val="1"/>
          <w:numId w:val="4"/>
        </w:numPr>
      </w:pPr>
      <w:r w:rsidRPr="0001730D">
        <w:t>VÕTA taotlus  koosneb:</w:t>
      </w:r>
    </w:p>
    <w:p w14:paraId="4750E562" w14:textId="77777777" w:rsidR="00C60634" w:rsidRPr="00483E0E" w:rsidRDefault="00C60634" w:rsidP="00C60634">
      <w:pPr>
        <w:pStyle w:val="Bodym1"/>
        <w:numPr>
          <w:ilvl w:val="2"/>
          <w:numId w:val="4"/>
        </w:numPr>
      </w:pPr>
      <w:r>
        <w:t>taotleja isikuandmetest</w:t>
      </w:r>
      <w:r w:rsidRPr="00483E0E">
        <w:t>;</w:t>
      </w:r>
    </w:p>
    <w:p w14:paraId="057CBD71" w14:textId="77777777" w:rsidR="00C60634" w:rsidRPr="0001730D" w:rsidRDefault="00C60634" w:rsidP="00C60634">
      <w:pPr>
        <w:pStyle w:val="Bodym1"/>
        <w:numPr>
          <w:ilvl w:val="2"/>
          <w:numId w:val="4"/>
        </w:numPr>
      </w:pPr>
      <w:r w:rsidRPr="0001730D">
        <w:t xml:space="preserve">taotluse </w:t>
      </w:r>
      <w:r>
        <w:t>sisuks olevatest andmetest nõutud erialaste eelteadmiste saavutamise kohta</w:t>
      </w:r>
      <w:r w:rsidRPr="0001730D">
        <w:t>;</w:t>
      </w:r>
    </w:p>
    <w:p w14:paraId="1D7C4D8D" w14:textId="09E93A9F" w:rsidR="00C60634" w:rsidRDefault="00C60634" w:rsidP="00C60634">
      <w:pPr>
        <w:pStyle w:val="Bodym1"/>
        <w:numPr>
          <w:ilvl w:val="2"/>
          <w:numId w:val="4"/>
        </w:numPr>
      </w:pPr>
      <w:r w:rsidRPr="00483E0E">
        <w:t>tõendusmaterjalist.</w:t>
      </w:r>
    </w:p>
    <w:p w14:paraId="44B7E839" w14:textId="737324A3" w:rsidR="00C60634" w:rsidRDefault="00C60634" w:rsidP="00C60634">
      <w:pPr>
        <w:pStyle w:val="Bodym"/>
        <w:numPr>
          <w:ilvl w:val="1"/>
          <w:numId w:val="4"/>
        </w:numPr>
      </w:pPr>
      <w:r w:rsidRPr="00A86603">
        <w:t>Varasemate õpingu</w:t>
      </w:r>
      <w:r>
        <w:t xml:space="preserve">te ja töökogemuse arvestamiseks esitab taotleja, kelle </w:t>
      </w:r>
      <w:r w:rsidR="00075572">
        <w:t>kandideerimise aluseks oleva</w:t>
      </w:r>
      <w:r>
        <w:t xml:space="preserve"> kõrgharidus</w:t>
      </w:r>
      <w:r w:rsidR="00FF13D9">
        <w:t>e</w:t>
      </w:r>
      <w:r>
        <w:t xml:space="preserve"> eriala</w:t>
      </w:r>
      <w:r w:rsidR="00075572">
        <w:t>/</w:t>
      </w:r>
      <w:r>
        <w:t>valdkon</w:t>
      </w:r>
      <w:r w:rsidR="00FF13D9">
        <w:t xml:space="preserve">d ei vasta magistriõppesse kandideerimisel kehtestatud täpsustatud </w:t>
      </w:r>
      <w:r>
        <w:t>nõu</w:t>
      </w:r>
      <w:r w:rsidR="00FF13D9">
        <w:t>dele</w:t>
      </w:r>
      <w:r>
        <w:t xml:space="preserve">, </w:t>
      </w:r>
      <w:r w:rsidRPr="00A86603">
        <w:t>teaduskonna VÕTA</w:t>
      </w:r>
      <w:r>
        <w:t xml:space="preserve"> </w:t>
      </w:r>
      <w:r w:rsidRPr="00A86603">
        <w:t>nõustajale vormikohase</w:t>
      </w:r>
      <w:r w:rsidR="00A47C33">
        <w:t xml:space="preserve"> VÕTA</w:t>
      </w:r>
      <w:r w:rsidRPr="00A86603">
        <w:t xml:space="preserve"> </w:t>
      </w:r>
      <w:r w:rsidRPr="00D26179">
        <w:t xml:space="preserve">taotluse hiljemalt </w:t>
      </w:r>
      <w:r w:rsidRPr="007B1565">
        <w:t>käesoleva</w:t>
      </w:r>
      <w:r>
        <w:t xml:space="preserve"> vastuvõtuperioodi</w:t>
      </w:r>
      <w:r w:rsidRPr="00D26179">
        <w:t xml:space="preserve"> 10. juuniks. </w:t>
      </w:r>
      <w:r>
        <w:t>Dekaani nõusolekul on erandkorras võimalik dokumente esitada vastuvõtuperioodi lõpuni.</w:t>
      </w:r>
    </w:p>
    <w:p w14:paraId="5E54AFEB" w14:textId="77777777" w:rsidR="00C60634" w:rsidRDefault="00C60634" w:rsidP="00C60634">
      <w:pPr>
        <w:pStyle w:val="Bodym"/>
        <w:numPr>
          <w:ilvl w:val="1"/>
          <w:numId w:val="4"/>
        </w:numPr>
      </w:pPr>
      <w:r w:rsidRPr="00A86603">
        <w:lastRenderedPageBreak/>
        <w:t xml:space="preserve">VÕTA hindamine </w:t>
      </w:r>
      <w:r>
        <w:t>viiakse läbi järgmiselt</w:t>
      </w:r>
      <w:r w:rsidRPr="00A86603">
        <w:t>:</w:t>
      </w:r>
    </w:p>
    <w:p w14:paraId="71EDA2B5" w14:textId="49DBDFF0" w:rsidR="00C60634" w:rsidRDefault="00C60634" w:rsidP="00C60634">
      <w:pPr>
        <w:pStyle w:val="Bodym1"/>
        <w:numPr>
          <w:ilvl w:val="2"/>
          <w:numId w:val="4"/>
        </w:numPr>
      </w:pPr>
      <w:r w:rsidRPr="008513B9">
        <w:t>VÕTA hindaja vaatab</w:t>
      </w:r>
      <w:r w:rsidR="00DA2A00">
        <w:t xml:space="preserve"> VÕTA</w:t>
      </w:r>
      <w:r w:rsidRPr="008513B9">
        <w:t xml:space="preserve"> taotluse läbi ja teeb otsuse 14 kalendripäeva jooksul</w:t>
      </w:r>
      <w:r w:rsidR="00DA2A00">
        <w:t xml:space="preserve"> taotluse saamisest</w:t>
      </w:r>
      <w:r w:rsidRPr="008513B9">
        <w:t>. VÕTA hindaja</w:t>
      </w:r>
      <w:r w:rsidR="00DA2A00">
        <w:t>l on õigus</w:t>
      </w:r>
      <w:r w:rsidRPr="00A86603">
        <w:t xml:space="preserve"> taotlejalt nõuda </w:t>
      </w:r>
      <w:r w:rsidR="00FF13D9">
        <w:t>lisadokumentide esitamist</w:t>
      </w:r>
      <w:r w:rsidR="003A0E40">
        <w:t>;</w:t>
      </w:r>
      <w:r w:rsidR="00FF13D9">
        <w:t xml:space="preserve"> intervjuul osalemist või</w:t>
      </w:r>
      <w:r w:rsidR="00FF13D9" w:rsidRPr="00A86603">
        <w:t xml:space="preserve"> </w:t>
      </w:r>
      <w:r w:rsidRPr="00A86603">
        <w:t>testi</w:t>
      </w:r>
      <w:r>
        <w:t>,</w:t>
      </w:r>
      <w:r w:rsidRPr="00A86603">
        <w:t xml:space="preserve"> arvestuse või </w:t>
      </w:r>
      <w:r>
        <w:t>eksami</w:t>
      </w:r>
      <w:r w:rsidRPr="00A86603">
        <w:t xml:space="preserve"> so</w:t>
      </w:r>
      <w:r>
        <w:t>oritamist</w:t>
      </w:r>
      <w:r w:rsidRPr="00A86603">
        <w:t>;</w:t>
      </w:r>
    </w:p>
    <w:p w14:paraId="4487FFE0" w14:textId="3521B236" w:rsidR="00C60634" w:rsidRDefault="00C60634" w:rsidP="00C60634">
      <w:pPr>
        <w:pStyle w:val="Bodym1"/>
        <w:numPr>
          <w:ilvl w:val="2"/>
          <w:numId w:val="4"/>
        </w:numPr>
      </w:pPr>
      <w:r w:rsidRPr="00A86603">
        <w:t>VÕTA</w:t>
      </w:r>
      <w:r>
        <w:t xml:space="preserve"> </w:t>
      </w:r>
      <w:r w:rsidRPr="00A86603">
        <w:t>hindaja tunnistab varasemad õpitulemused magistriõppekavale kandideerimise</w:t>
      </w:r>
      <w:r w:rsidR="00FF13D9">
        <w:t xml:space="preserve"> nõuetele</w:t>
      </w:r>
      <w:r w:rsidRPr="00A86603">
        <w:t xml:space="preserve"> vastavaks või mittevastavaks;</w:t>
      </w:r>
    </w:p>
    <w:p w14:paraId="3070139C" w14:textId="77777777" w:rsidR="00C60634" w:rsidRDefault="00C60634" w:rsidP="00C60634">
      <w:pPr>
        <w:pStyle w:val="Bodym1"/>
        <w:numPr>
          <w:ilvl w:val="2"/>
          <w:numId w:val="4"/>
        </w:numPr>
      </w:pPr>
      <w:r w:rsidRPr="00A86603">
        <w:t>kui varasemad õpitulemused on soovitud õppekavale kandideerimisek</w:t>
      </w:r>
      <w:r>
        <w:t>s</w:t>
      </w:r>
      <w:r w:rsidRPr="006E3262">
        <w:t xml:space="preserve"> </w:t>
      </w:r>
      <w:r w:rsidRPr="00A86603">
        <w:t>mittevastavad</w:t>
      </w:r>
      <w:r>
        <w:t xml:space="preserve">, määrab VÕTA hindaja taotleja soovil enne kandideerimist </w:t>
      </w:r>
      <w:r w:rsidRPr="00A86603">
        <w:t>sooritamist vajavad õppeained;</w:t>
      </w:r>
    </w:p>
    <w:p w14:paraId="56AD1C57" w14:textId="3165A3B5" w:rsidR="00C60634" w:rsidRDefault="00C60634" w:rsidP="00C60634">
      <w:pPr>
        <w:pStyle w:val="Bodym1"/>
        <w:numPr>
          <w:ilvl w:val="2"/>
          <w:numId w:val="4"/>
        </w:numPr>
      </w:pPr>
      <w:r w:rsidRPr="00A86603">
        <w:t>hindamisotsus</w:t>
      </w:r>
      <w:r>
        <w:t xml:space="preserve"> väljastatakse</w:t>
      </w:r>
      <w:r w:rsidRPr="00A86603">
        <w:t xml:space="preserve"> taotleja</w:t>
      </w:r>
      <w:r>
        <w:t>le</w:t>
      </w:r>
      <w:r w:rsidRPr="00A86603">
        <w:t xml:space="preserve"> </w:t>
      </w:r>
      <w:r>
        <w:t>teaduskonna dekanaadist.</w:t>
      </w:r>
    </w:p>
    <w:p w14:paraId="4A25192F" w14:textId="77777777" w:rsidR="00C60634" w:rsidRPr="00755FF3" w:rsidRDefault="00C60634" w:rsidP="00C60634">
      <w:pPr>
        <w:pStyle w:val="Loetelum"/>
        <w:numPr>
          <w:ilvl w:val="0"/>
          <w:numId w:val="4"/>
        </w:numPr>
        <w:spacing w:before="100"/>
      </w:pPr>
      <w:r w:rsidRPr="00755FF3">
        <w:t>Vaidlustamine</w:t>
      </w:r>
    </w:p>
    <w:p w14:paraId="0C440947" w14:textId="3DD69F23" w:rsidR="00C60634" w:rsidRPr="00030292" w:rsidRDefault="00C60634" w:rsidP="00C60634">
      <w:pPr>
        <w:pStyle w:val="Bodym"/>
        <w:numPr>
          <w:ilvl w:val="1"/>
          <w:numId w:val="4"/>
        </w:numPr>
      </w:pPr>
      <w:r>
        <w:t>VÕTA rakendamisest</w:t>
      </w:r>
      <w:r w:rsidR="00DA2A00">
        <w:t xml:space="preserve"> või rakendamata jätmisest</w:t>
      </w:r>
      <w:r>
        <w:t xml:space="preserve"> tulenevaid otsuseid võib vaidlustada </w:t>
      </w:r>
      <w:r w:rsidRPr="00755FF3">
        <w:t>õppekorralduse eeskirja</w:t>
      </w:r>
      <w:r>
        <w:t>s ettenähtud korras</w:t>
      </w:r>
      <w:r w:rsidRPr="00755FF3">
        <w:t>.</w:t>
      </w:r>
    </w:p>
    <w:p w14:paraId="29249D2B" w14:textId="77777777" w:rsidR="00C60634" w:rsidRPr="00030292" w:rsidRDefault="00C60634" w:rsidP="00C60634">
      <w:pPr>
        <w:pStyle w:val="Loetelum"/>
        <w:numPr>
          <w:ilvl w:val="0"/>
          <w:numId w:val="4"/>
        </w:numPr>
      </w:pPr>
      <w:r w:rsidRPr="00030292">
        <w:t>M</w:t>
      </w:r>
      <w:r>
        <w:t>ääruse rakendamine</w:t>
      </w:r>
    </w:p>
    <w:p w14:paraId="7CAE532F" w14:textId="77777777" w:rsidR="00C60634" w:rsidRPr="001E049E" w:rsidRDefault="00C60634" w:rsidP="00C60634">
      <w:pPr>
        <w:pStyle w:val="Bodym"/>
        <w:numPr>
          <w:ilvl w:val="1"/>
          <w:numId w:val="4"/>
        </w:numPr>
      </w:pPr>
      <w:r w:rsidRPr="001E049E">
        <w:t>Tunnistatakse kehtetuks Tallinna Tehnikaülikooli senati 22.10.2019 määrus nr 7 „Varasemate õpingute ja töökogemuse arvestamise tingimused ja kord“.</w:t>
      </w:r>
    </w:p>
    <w:p w14:paraId="46BA26BD" w14:textId="6B3A978D" w:rsidR="00C60634" w:rsidRPr="001E049E" w:rsidRDefault="00C60634" w:rsidP="00C60634">
      <w:pPr>
        <w:pStyle w:val="Bodym"/>
        <w:numPr>
          <w:ilvl w:val="1"/>
          <w:numId w:val="4"/>
        </w:numPr>
      </w:pPr>
      <w:r w:rsidRPr="001E049E">
        <w:t>Määrus jõustub</w:t>
      </w:r>
      <w:r w:rsidR="003A0E40">
        <w:t xml:space="preserve"> allakirjutamisel</w:t>
      </w:r>
      <w:r w:rsidRPr="001E049E">
        <w:t>.</w:t>
      </w:r>
    </w:p>
    <w:p w14:paraId="058E7670" w14:textId="77777777" w:rsidR="008018DF" w:rsidRPr="00030292" w:rsidRDefault="008018DF" w:rsidP="00114982">
      <w:pPr>
        <w:tabs>
          <w:tab w:val="left" w:pos="7200"/>
        </w:tabs>
      </w:pPr>
      <w:bookmarkStart w:id="1" w:name="para14lg1"/>
      <w:bookmarkEnd w:id="1"/>
    </w:p>
    <w:sectPr w:rsidR="008018DF" w:rsidRPr="00030292" w:rsidSect="0084347C">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47DB7" w14:textId="77777777" w:rsidR="006F0DDF" w:rsidRDefault="006F0DDF">
      <w:r>
        <w:separator/>
      </w:r>
    </w:p>
  </w:endnote>
  <w:endnote w:type="continuationSeparator" w:id="0">
    <w:p w14:paraId="4C77BD22" w14:textId="77777777" w:rsidR="006F0DDF" w:rsidRDefault="006F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F5D7" w14:textId="77777777" w:rsidR="006E63F7" w:rsidRDefault="006E6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E7E850" w14:textId="77777777" w:rsidR="006E63F7" w:rsidRDefault="006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4702D" w14:textId="77777777" w:rsidR="006F0DDF" w:rsidRDefault="006F0DDF">
      <w:r>
        <w:separator/>
      </w:r>
    </w:p>
  </w:footnote>
  <w:footnote w:type="continuationSeparator" w:id="0">
    <w:p w14:paraId="0C98C6A5" w14:textId="77777777" w:rsidR="006F0DDF" w:rsidRDefault="006F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2B1D" w14:textId="21FCA16D" w:rsidR="006E63F7" w:rsidRDefault="006E6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A93">
      <w:rPr>
        <w:rStyle w:val="PageNumber"/>
        <w:noProof/>
      </w:rPr>
      <w:t>2</w:t>
    </w:r>
    <w:r>
      <w:rPr>
        <w:rStyle w:val="PageNumber"/>
      </w:rPr>
      <w:fldChar w:fldCharType="end"/>
    </w:r>
  </w:p>
  <w:p w14:paraId="233DC41D" w14:textId="77777777" w:rsidR="006E63F7" w:rsidRDefault="006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59231"/>
      <w:docPartObj>
        <w:docPartGallery w:val="Page Numbers (Top of Page)"/>
        <w:docPartUnique/>
      </w:docPartObj>
    </w:sdtPr>
    <w:sdtEndPr/>
    <w:sdtContent>
      <w:p w14:paraId="7CE29A99" w14:textId="77777777" w:rsidR="0084347C" w:rsidRDefault="0084347C">
        <w:pPr>
          <w:pStyle w:val="Header"/>
          <w:jc w:val="center"/>
        </w:pPr>
        <w:r>
          <w:fldChar w:fldCharType="begin"/>
        </w:r>
        <w:r>
          <w:instrText>PAGE   \* MERGEFORMAT</w:instrText>
        </w:r>
        <w:r>
          <w:fldChar w:fldCharType="separate"/>
        </w:r>
        <w:r w:rsidR="0003029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B0A06DB2"/>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74825667">
    <w:abstractNumId w:val="3"/>
  </w:num>
  <w:num w:numId="2" w16cid:durableId="1931818504">
    <w:abstractNumId w:val="4"/>
  </w:num>
  <w:num w:numId="3" w16cid:durableId="252008170">
    <w:abstractNumId w:val="0"/>
  </w:num>
  <w:num w:numId="4" w16cid:durableId="988747606">
    <w:abstractNumId w:val="1"/>
  </w:num>
  <w:num w:numId="5" w16cid:durableId="1850757468">
    <w:abstractNumId w:val="1"/>
  </w:num>
  <w:num w:numId="6" w16cid:durableId="1184250245">
    <w:abstractNumId w:val="1"/>
  </w:num>
  <w:num w:numId="7" w16cid:durableId="1374038249">
    <w:abstractNumId w:val="1"/>
  </w:num>
  <w:num w:numId="8" w16cid:durableId="2144417968">
    <w:abstractNumId w:val="2"/>
  </w:num>
  <w:num w:numId="9" w16cid:durableId="2080325290">
    <w:abstractNumId w:val="1"/>
  </w:num>
  <w:num w:numId="10" w16cid:durableId="923999802">
    <w:abstractNumId w:val="1"/>
  </w:num>
  <w:num w:numId="11" w16cid:durableId="2090300640">
    <w:abstractNumId w:val="1"/>
  </w:num>
  <w:num w:numId="12" w16cid:durableId="70321992">
    <w:abstractNumId w:val="1"/>
  </w:num>
  <w:num w:numId="13" w16cid:durableId="2100905646">
    <w:abstractNumId w:val="1"/>
  </w:num>
  <w:num w:numId="14" w16cid:durableId="1497763679">
    <w:abstractNumId w:val="1"/>
  </w:num>
  <w:num w:numId="15" w16cid:durableId="324170593">
    <w:abstractNumId w:val="1"/>
  </w:num>
  <w:num w:numId="16" w16cid:durableId="593634610">
    <w:abstractNumId w:val="1"/>
  </w:num>
  <w:num w:numId="17" w16cid:durableId="79398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34"/>
    <w:rsid w:val="000171F3"/>
    <w:rsid w:val="00022956"/>
    <w:rsid w:val="00030292"/>
    <w:rsid w:val="00045E22"/>
    <w:rsid w:val="00056A9C"/>
    <w:rsid w:val="00070E8F"/>
    <w:rsid w:val="00075572"/>
    <w:rsid w:val="00077345"/>
    <w:rsid w:val="000A244F"/>
    <w:rsid w:val="000D7B48"/>
    <w:rsid w:val="000E0598"/>
    <w:rsid w:val="000F20D9"/>
    <w:rsid w:val="000F3661"/>
    <w:rsid w:val="001103DE"/>
    <w:rsid w:val="00114982"/>
    <w:rsid w:val="00136C3A"/>
    <w:rsid w:val="00181A1C"/>
    <w:rsid w:val="00185310"/>
    <w:rsid w:val="001873E4"/>
    <w:rsid w:val="00195A2F"/>
    <w:rsid w:val="00195F4D"/>
    <w:rsid w:val="001E30C3"/>
    <w:rsid w:val="001F41E7"/>
    <w:rsid w:val="00200083"/>
    <w:rsid w:val="00210F74"/>
    <w:rsid w:val="00245E2F"/>
    <w:rsid w:val="002C60A6"/>
    <w:rsid w:val="002D00F6"/>
    <w:rsid w:val="0031245F"/>
    <w:rsid w:val="003159EB"/>
    <w:rsid w:val="003162FF"/>
    <w:rsid w:val="00322AC0"/>
    <w:rsid w:val="003359E5"/>
    <w:rsid w:val="00344B49"/>
    <w:rsid w:val="0037162D"/>
    <w:rsid w:val="00391473"/>
    <w:rsid w:val="00396767"/>
    <w:rsid w:val="003A0E40"/>
    <w:rsid w:val="003E0055"/>
    <w:rsid w:val="003F55F7"/>
    <w:rsid w:val="004012EB"/>
    <w:rsid w:val="0040333E"/>
    <w:rsid w:val="0040530C"/>
    <w:rsid w:val="0040547F"/>
    <w:rsid w:val="004107CA"/>
    <w:rsid w:val="0042252F"/>
    <w:rsid w:val="00453FC0"/>
    <w:rsid w:val="004555CC"/>
    <w:rsid w:val="00466707"/>
    <w:rsid w:val="00484944"/>
    <w:rsid w:val="00485C13"/>
    <w:rsid w:val="004878F7"/>
    <w:rsid w:val="004B0E0D"/>
    <w:rsid w:val="004B2641"/>
    <w:rsid w:val="004B6534"/>
    <w:rsid w:val="004D6D78"/>
    <w:rsid w:val="004E660B"/>
    <w:rsid w:val="004F34FE"/>
    <w:rsid w:val="00543BFE"/>
    <w:rsid w:val="00577F41"/>
    <w:rsid w:val="00587ED2"/>
    <w:rsid w:val="005D5045"/>
    <w:rsid w:val="005F5A93"/>
    <w:rsid w:val="00605942"/>
    <w:rsid w:val="00655B65"/>
    <w:rsid w:val="00665BEB"/>
    <w:rsid w:val="00685B50"/>
    <w:rsid w:val="00685D9B"/>
    <w:rsid w:val="00697BFE"/>
    <w:rsid w:val="006C452A"/>
    <w:rsid w:val="006E1CF0"/>
    <w:rsid w:val="006E3F85"/>
    <w:rsid w:val="006E63F7"/>
    <w:rsid w:val="006F0DDF"/>
    <w:rsid w:val="006F4067"/>
    <w:rsid w:val="00702729"/>
    <w:rsid w:val="00714988"/>
    <w:rsid w:val="007174FE"/>
    <w:rsid w:val="0074053D"/>
    <w:rsid w:val="00756A6B"/>
    <w:rsid w:val="00767B16"/>
    <w:rsid w:val="007820B3"/>
    <w:rsid w:val="00784674"/>
    <w:rsid w:val="00796BD0"/>
    <w:rsid w:val="007A03CB"/>
    <w:rsid w:val="007A234E"/>
    <w:rsid w:val="007A41C3"/>
    <w:rsid w:val="007B64FB"/>
    <w:rsid w:val="007D486B"/>
    <w:rsid w:val="007D4E8A"/>
    <w:rsid w:val="008018DF"/>
    <w:rsid w:val="00801DE4"/>
    <w:rsid w:val="00824B27"/>
    <w:rsid w:val="00832D31"/>
    <w:rsid w:val="0084347C"/>
    <w:rsid w:val="0084431B"/>
    <w:rsid w:val="00870F2D"/>
    <w:rsid w:val="008B31B5"/>
    <w:rsid w:val="008F4EDB"/>
    <w:rsid w:val="00900F04"/>
    <w:rsid w:val="009163E3"/>
    <w:rsid w:val="009745AE"/>
    <w:rsid w:val="009C6F1C"/>
    <w:rsid w:val="009E28F6"/>
    <w:rsid w:val="009E44AB"/>
    <w:rsid w:val="00A16004"/>
    <w:rsid w:val="00A1713A"/>
    <w:rsid w:val="00A204FA"/>
    <w:rsid w:val="00A21113"/>
    <w:rsid w:val="00A36740"/>
    <w:rsid w:val="00A40EDE"/>
    <w:rsid w:val="00A47C33"/>
    <w:rsid w:val="00A6785F"/>
    <w:rsid w:val="00A713CC"/>
    <w:rsid w:val="00A77BDA"/>
    <w:rsid w:val="00A80D60"/>
    <w:rsid w:val="00A87E67"/>
    <w:rsid w:val="00AA13D1"/>
    <w:rsid w:val="00AA27EF"/>
    <w:rsid w:val="00AA3C18"/>
    <w:rsid w:val="00AA6EBA"/>
    <w:rsid w:val="00AB5DC7"/>
    <w:rsid w:val="00AD4F2A"/>
    <w:rsid w:val="00AD5505"/>
    <w:rsid w:val="00AD6477"/>
    <w:rsid w:val="00B02493"/>
    <w:rsid w:val="00B1334D"/>
    <w:rsid w:val="00B23D2E"/>
    <w:rsid w:val="00B666E3"/>
    <w:rsid w:val="00B67AAA"/>
    <w:rsid w:val="00B937B6"/>
    <w:rsid w:val="00B93CC5"/>
    <w:rsid w:val="00B9481D"/>
    <w:rsid w:val="00BC3A38"/>
    <w:rsid w:val="00BC75A6"/>
    <w:rsid w:val="00BE01F4"/>
    <w:rsid w:val="00BF6405"/>
    <w:rsid w:val="00C07B3A"/>
    <w:rsid w:val="00C11D43"/>
    <w:rsid w:val="00C36459"/>
    <w:rsid w:val="00C51C87"/>
    <w:rsid w:val="00C570F2"/>
    <w:rsid w:val="00C60634"/>
    <w:rsid w:val="00CC0123"/>
    <w:rsid w:val="00CE5D1C"/>
    <w:rsid w:val="00CF6EFF"/>
    <w:rsid w:val="00D10066"/>
    <w:rsid w:val="00D20826"/>
    <w:rsid w:val="00D514F1"/>
    <w:rsid w:val="00D73B85"/>
    <w:rsid w:val="00D803FE"/>
    <w:rsid w:val="00D82C55"/>
    <w:rsid w:val="00D84724"/>
    <w:rsid w:val="00D84D3A"/>
    <w:rsid w:val="00D86176"/>
    <w:rsid w:val="00D873C8"/>
    <w:rsid w:val="00DA2A00"/>
    <w:rsid w:val="00DA41AF"/>
    <w:rsid w:val="00DD488F"/>
    <w:rsid w:val="00DE01B5"/>
    <w:rsid w:val="00DF010D"/>
    <w:rsid w:val="00E06753"/>
    <w:rsid w:val="00E22D1C"/>
    <w:rsid w:val="00E35C69"/>
    <w:rsid w:val="00E54293"/>
    <w:rsid w:val="00E64FF8"/>
    <w:rsid w:val="00E73092"/>
    <w:rsid w:val="00E77564"/>
    <w:rsid w:val="00E825F5"/>
    <w:rsid w:val="00EB1F0B"/>
    <w:rsid w:val="00EB357F"/>
    <w:rsid w:val="00EB3D47"/>
    <w:rsid w:val="00EC323A"/>
    <w:rsid w:val="00EE049C"/>
    <w:rsid w:val="00EE7B75"/>
    <w:rsid w:val="00F33355"/>
    <w:rsid w:val="00F33C01"/>
    <w:rsid w:val="00F50E19"/>
    <w:rsid w:val="00F75D96"/>
    <w:rsid w:val="00F875F9"/>
    <w:rsid w:val="00F91E6B"/>
    <w:rsid w:val="00F94FAF"/>
    <w:rsid w:val="00FB58A3"/>
    <w:rsid w:val="00FC0163"/>
    <w:rsid w:val="00FC6635"/>
    <w:rsid w:val="00FD67F6"/>
    <w:rsid w:val="00FF13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53CFC6CE"/>
  <w15:docId w15:val="{69EFEF2D-AD53-41FF-AD68-F7A642A0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18"/>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9E5"/>
  </w:style>
  <w:style w:type="paragraph" w:styleId="Heading1">
    <w:name w:val="heading 1"/>
    <w:basedOn w:val="Normal"/>
    <w:next w:val="Loetelum"/>
    <w:qFormat/>
    <w:rsid w:val="00543BFE"/>
    <w:pPr>
      <w:keepNext/>
      <w:numPr>
        <w:numId w:val="2"/>
      </w:numPr>
      <w:spacing w:before="360" w:after="20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Bodym1">
    <w:name w:val="Bodym1"/>
    <w:basedOn w:val="Bodym"/>
    <w:rsid w:val="00DD488F"/>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DD488F"/>
    <w:pPr>
      <w:keepNext/>
      <w:numPr>
        <w:numId w:val="13"/>
      </w:numPr>
    </w:pPr>
    <w:rPr>
      <w:b/>
    </w:rPr>
  </w:style>
  <w:style w:type="paragraph" w:customStyle="1" w:styleId="Bodym">
    <w:name w:val="Bodym"/>
    <w:basedOn w:val="Bodyt"/>
    <w:rsid w:val="00DD488F"/>
    <w:pPr>
      <w:numPr>
        <w:ilvl w:val="1"/>
        <w:numId w:val="13"/>
      </w:numPr>
      <w:spacing w:before="80"/>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Tallinn">
    <w:name w:val="Tallinn"/>
    <w:basedOn w:val="BodyText"/>
    <w:next w:val="BodyText"/>
    <w:qFormat/>
    <w:rsid w:val="00DD488F"/>
    <w:pPr>
      <w:tabs>
        <w:tab w:val="left" w:pos="6237"/>
      </w:tabs>
      <w:spacing w:before="80" w:after="120"/>
    </w:pPr>
  </w:style>
  <w:style w:type="paragraph" w:customStyle="1" w:styleId="Pealkiri">
    <w:name w:val="Pealkiri"/>
    <w:basedOn w:val="Normal"/>
    <w:next w:val="Normal"/>
    <w:qFormat/>
    <w:rsid w:val="00543BFE"/>
    <w:pPr>
      <w:spacing w:before="840" w:after="480"/>
      <w:ind w:right="5103"/>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qFormat/>
    <w:rsid w:val="00D20826"/>
    <w:pPr>
      <w:spacing w:before="480" w:after="120"/>
    </w:pPr>
  </w:style>
  <w:style w:type="table" w:styleId="TableGrid">
    <w:name w:val="Table Grid"/>
    <w:basedOn w:val="TableNormal"/>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US"/>
    </w:rPr>
  </w:style>
  <w:style w:type="character" w:customStyle="1" w:styleId="cf01">
    <w:name w:val="cf01"/>
    <w:basedOn w:val="DefaultParagraphFont"/>
    <w:rsid w:val="00C60634"/>
    <w:rPr>
      <w:rFonts w:ascii="Segoe UI" w:hAnsi="Segoe UI" w:cs="Segoe UI" w:hint="default"/>
      <w:sz w:val="18"/>
      <w:szCs w:val="18"/>
    </w:rPr>
  </w:style>
  <w:style w:type="paragraph" w:styleId="Revision">
    <w:name w:val="Revision"/>
    <w:hidden/>
    <w:uiPriority w:val="99"/>
    <w:semiHidden/>
    <w:rsid w:val="00EB1F0B"/>
  </w:style>
  <w:style w:type="character" w:styleId="CommentReference">
    <w:name w:val="annotation reference"/>
    <w:basedOn w:val="DefaultParagraphFont"/>
    <w:semiHidden/>
    <w:unhideWhenUsed/>
    <w:rsid w:val="00E54293"/>
    <w:rPr>
      <w:sz w:val="16"/>
      <w:szCs w:val="16"/>
    </w:rPr>
  </w:style>
  <w:style w:type="paragraph" w:styleId="CommentText">
    <w:name w:val="annotation text"/>
    <w:basedOn w:val="Normal"/>
    <w:link w:val="CommentTextChar"/>
    <w:unhideWhenUsed/>
    <w:rsid w:val="00E54293"/>
    <w:rPr>
      <w:sz w:val="20"/>
      <w:szCs w:val="20"/>
    </w:rPr>
  </w:style>
  <w:style w:type="character" w:customStyle="1" w:styleId="CommentTextChar">
    <w:name w:val="Comment Text Char"/>
    <w:basedOn w:val="DefaultParagraphFont"/>
    <w:link w:val="CommentText"/>
    <w:rsid w:val="00E54293"/>
    <w:rPr>
      <w:sz w:val="20"/>
      <w:szCs w:val="20"/>
    </w:rPr>
  </w:style>
  <w:style w:type="paragraph" w:styleId="CommentSubject">
    <w:name w:val="annotation subject"/>
    <w:basedOn w:val="CommentText"/>
    <w:next w:val="CommentText"/>
    <w:link w:val="CommentSubjectChar"/>
    <w:semiHidden/>
    <w:unhideWhenUsed/>
    <w:rsid w:val="00E54293"/>
    <w:rPr>
      <w:b/>
      <w:bCs/>
    </w:rPr>
  </w:style>
  <w:style w:type="character" w:customStyle="1" w:styleId="CommentSubjectChar">
    <w:name w:val="Comment Subject Char"/>
    <w:basedOn w:val="CommentTextChar"/>
    <w:link w:val="CommentSubject"/>
    <w:semiHidden/>
    <w:rsid w:val="00E54293"/>
    <w:rPr>
      <w:b/>
      <w:bCs/>
      <w:sz w:val="20"/>
      <w:szCs w:val="20"/>
    </w:rPr>
  </w:style>
  <w:style w:type="paragraph" w:styleId="NormalWeb">
    <w:name w:val="Normal (Web)"/>
    <w:basedOn w:val="Normal"/>
    <w:uiPriority w:val="99"/>
    <w:semiHidden/>
    <w:unhideWhenUsed/>
    <w:rsid w:val="000171F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301421">
      <w:bodyDiv w:val="1"/>
      <w:marLeft w:val="0"/>
      <w:marRight w:val="0"/>
      <w:marTop w:val="0"/>
      <w:marBottom w:val="0"/>
      <w:divBdr>
        <w:top w:val="none" w:sz="0" w:space="0" w:color="auto"/>
        <w:left w:val="none" w:sz="0" w:space="0" w:color="auto"/>
        <w:bottom w:val="none" w:sz="0" w:space="0" w:color="auto"/>
        <w:right w:val="none" w:sz="0" w:space="0" w:color="auto"/>
      </w:divBdr>
    </w:div>
    <w:div w:id="19736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ra.ttu.ee\settings\doctemplates\Senati_maar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1B05-DE65-40BD-A7DD-834C1715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Senati_maarus</Template>
  <TotalTime>2</TotalTime>
  <Pages>4</Pages>
  <Words>1514</Words>
  <Characters>11466</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Kej Vackermann</dc:creator>
  <cp:keywords/>
  <cp:lastModifiedBy>Kairi Schütz</cp:lastModifiedBy>
  <cp:revision>6</cp:revision>
  <cp:lastPrinted>2023-11-21T12:18:00Z</cp:lastPrinted>
  <dcterms:created xsi:type="dcterms:W3CDTF">2025-05-22T06:53:00Z</dcterms:created>
  <dcterms:modified xsi:type="dcterms:W3CDTF">2025-05-22T07:11:00Z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