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250E" w14:textId="77777777" w:rsidR="003F5D60" w:rsidRDefault="003F5D60" w:rsidP="003F5D60">
      <w:pPr>
        <w:pStyle w:val="BodyText"/>
        <w:jc w:val="right"/>
        <w:rPr>
          <w:noProof/>
        </w:rPr>
      </w:pPr>
      <w:r>
        <w:rPr>
          <w:noProof/>
        </w:rPr>
        <w:t xml:space="preserve">ALGTEKST-TERVIKTEKST </w:t>
      </w:r>
    </w:p>
    <w:p w14:paraId="1E900466" w14:textId="12C49865" w:rsidR="001E30C3" w:rsidRDefault="003F5D60" w:rsidP="001E30C3">
      <w:pPr>
        <w:pStyle w:val="Tallinn"/>
        <w:tabs>
          <w:tab w:val="left" w:pos="6285"/>
        </w:tabs>
      </w:pPr>
      <w:r>
        <w:t xml:space="preserve">Kehtestatud senati </w:t>
      </w:r>
      <w:r w:rsidR="00BF2937">
        <w:t>16.05.2023</w:t>
      </w:r>
      <w:r w:rsidR="001E30C3" w:rsidRPr="00322D85">
        <w:t xml:space="preserve"> </w:t>
      </w:r>
      <w:r>
        <w:t xml:space="preserve">määrusega </w:t>
      </w:r>
      <w:r w:rsidR="001E30C3" w:rsidRPr="00322D85">
        <w:t xml:space="preserve">nr </w:t>
      </w:r>
      <w:r w:rsidR="00BF2937">
        <w:t>3</w:t>
      </w:r>
    </w:p>
    <w:p w14:paraId="0D27FB3A" w14:textId="77777777" w:rsidR="003F5D60" w:rsidRDefault="003F5D60" w:rsidP="003F5D60">
      <w:pPr>
        <w:pStyle w:val="BodyText"/>
      </w:pPr>
    </w:p>
    <w:p w14:paraId="69324F9A" w14:textId="36B5DFCD" w:rsidR="003F5D60" w:rsidRDefault="003F5D60" w:rsidP="003F5D60">
      <w:pPr>
        <w:pStyle w:val="BodyText"/>
      </w:pPr>
      <w:r>
        <w:t>Redaktsiooni jõustumise kuupäev: 1</w:t>
      </w:r>
      <w:r w:rsidR="00A445ED">
        <w:t>7</w:t>
      </w:r>
      <w:r>
        <w:t>.05.2023</w:t>
      </w:r>
    </w:p>
    <w:p w14:paraId="4748521B" w14:textId="77777777" w:rsidR="003F5D60" w:rsidRPr="003F5D60" w:rsidRDefault="003F5D60" w:rsidP="003F5D60">
      <w:pPr>
        <w:pStyle w:val="BodyText"/>
      </w:pPr>
    </w:p>
    <w:p w14:paraId="16058464" w14:textId="24F1320B" w:rsidR="001E30C3" w:rsidRDefault="00770F2F" w:rsidP="003F5D60">
      <w:pPr>
        <w:pStyle w:val="Pealkiri"/>
        <w:spacing w:before="0" w:after="0"/>
      </w:pPr>
      <w:r>
        <w:t>Toetajate tunnustamise statuut</w:t>
      </w:r>
    </w:p>
    <w:p w14:paraId="7C5727F3" w14:textId="77777777" w:rsidR="003F5D60" w:rsidRPr="003F5D60" w:rsidRDefault="003F5D60" w:rsidP="003F5D60"/>
    <w:p w14:paraId="6CB4A0CE" w14:textId="640060D5" w:rsidR="001E30C3" w:rsidRPr="00322D85" w:rsidRDefault="001E30C3" w:rsidP="003359E5">
      <w:r w:rsidRPr="00322D85">
        <w:t xml:space="preserve">Määrus kehtestatakse </w:t>
      </w:r>
      <w:r w:rsidR="00770F2F" w:rsidRPr="00770F2F">
        <w:t>põhikirja § 9 punkti 17</w:t>
      </w:r>
      <w:r w:rsidRPr="00322D85">
        <w:t xml:space="preserve"> alusel.</w:t>
      </w:r>
    </w:p>
    <w:p w14:paraId="04979C16" w14:textId="29AD92B0" w:rsidR="00770F2F" w:rsidRPr="00770F2F" w:rsidRDefault="00770F2F" w:rsidP="00770F2F">
      <w:pPr>
        <w:pStyle w:val="Loetelum"/>
        <w:rPr>
          <w:b w:val="0"/>
          <w:bCs/>
        </w:rPr>
      </w:pPr>
      <w:r w:rsidRPr="00770F2F">
        <w:rPr>
          <w:b w:val="0"/>
          <w:bCs/>
        </w:rPr>
        <w:t>Toetajate tunnustamise statuudiga reguleeritakse Tallinna Tehnikaülikoolile (edaspidi „ülikool“) annetuste tegemist, rahalist ja mitterahalist toetamist ning toetajate, annetajate, sponsorite ja koostööpartnerite tunnustamist (edaspidi nimetatud „toetaja “).</w:t>
      </w:r>
    </w:p>
    <w:p w14:paraId="490DCC14" w14:textId="123BE200" w:rsidR="00770F2F" w:rsidRPr="00770F2F" w:rsidRDefault="00770F2F" w:rsidP="00770F2F">
      <w:pPr>
        <w:pStyle w:val="Loetelum"/>
        <w:rPr>
          <w:b w:val="0"/>
          <w:bCs/>
        </w:rPr>
      </w:pPr>
      <w:r w:rsidRPr="00770F2F">
        <w:rPr>
          <w:b w:val="0"/>
          <w:bCs/>
        </w:rPr>
        <w:t>Ülikoolile annetamiseks loetakse ka annetamist sh pärandamist SA Tallinna Tehnikaülikooli Arengufondile ja teistele ülikooli ainuosalusega ühingutele. Annetusena ei käsitleta ülikoolilt teenuse, sh reklaami ostmist.</w:t>
      </w:r>
    </w:p>
    <w:p w14:paraId="315AF1E2" w14:textId="02E1341F" w:rsidR="00770F2F" w:rsidRPr="00770F2F" w:rsidRDefault="00770F2F" w:rsidP="00770F2F">
      <w:pPr>
        <w:pStyle w:val="Loetelum"/>
        <w:rPr>
          <w:b w:val="0"/>
          <w:bCs/>
        </w:rPr>
      </w:pPr>
      <w:r w:rsidRPr="00770F2F">
        <w:rPr>
          <w:b w:val="0"/>
          <w:bCs/>
        </w:rPr>
        <w:t>Toetaja võib olla nii juriidiline kui füüsiline isik (edaspidi „isik“).</w:t>
      </w:r>
    </w:p>
    <w:p w14:paraId="08FE440C" w14:textId="149935FF" w:rsidR="00770F2F" w:rsidRPr="00770F2F" w:rsidRDefault="00770F2F" w:rsidP="00770F2F">
      <w:pPr>
        <w:pStyle w:val="Loetelum"/>
        <w:rPr>
          <w:b w:val="0"/>
          <w:bCs/>
        </w:rPr>
      </w:pPr>
      <w:r w:rsidRPr="00770F2F">
        <w:rPr>
          <w:b w:val="0"/>
          <w:bCs/>
        </w:rPr>
        <w:t>Toetajate, annetajate ja koostööpartnerite tunnustamise protsessi operatiivseks juhtimiseks ning selgitamiseks kinnitab rektor toetajate, annetajate ja koostööpartnerite tunnustamise korra.</w:t>
      </w:r>
    </w:p>
    <w:p w14:paraId="1D8524C7" w14:textId="77ECFED0" w:rsidR="00770F2F" w:rsidRPr="00770F2F" w:rsidRDefault="00770F2F" w:rsidP="00770F2F">
      <w:pPr>
        <w:pStyle w:val="Loetelum"/>
        <w:rPr>
          <w:b w:val="0"/>
          <w:bCs/>
        </w:rPr>
      </w:pPr>
      <w:r w:rsidRPr="00770F2F">
        <w:rPr>
          <w:b w:val="0"/>
          <w:bCs/>
        </w:rPr>
        <w:t>Toetajaks loetakse isik, kes on annetanud ülikoolile raha, muud hinnatavat vara või hüve ning toetaja tiitel sõltub toetuse väärtusest:</w:t>
      </w:r>
    </w:p>
    <w:p w14:paraId="17E0A469" w14:textId="379814E7" w:rsidR="00770F2F" w:rsidRPr="00770F2F" w:rsidRDefault="00770F2F" w:rsidP="00770F2F">
      <w:pPr>
        <w:pStyle w:val="Bodym"/>
      </w:pPr>
      <w:r w:rsidRPr="00770F2F">
        <w:t xml:space="preserve">„Kuldsponsor“ </w:t>
      </w:r>
      <w:r w:rsidR="00AB7E42">
        <w:t>–</w:t>
      </w:r>
      <w:r w:rsidRPr="00770F2F">
        <w:t xml:space="preserve"> nimetus antakse isikule, kes annetab kalendriaasta jooksul vähemalt 100 000 (või enam) eurot või sarnases väärtuses vara;</w:t>
      </w:r>
    </w:p>
    <w:p w14:paraId="201019E0" w14:textId="07EB3F16" w:rsidR="00770F2F" w:rsidRPr="00770F2F" w:rsidRDefault="00770F2F" w:rsidP="00770F2F">
      <w:pPr>
        <w:pStyle w:val="Bodym"/>
      </w:pPr>
      <w:r w:rsidRPr="00770F2F">
        <w:t xml:space="preserve">„Suurtoetaja“ </w:t>
      </w:r>
      <w:r w:rsidR="00AB7E42">
        <w:t>–</w:t>
      </w:r>
      <w:r w:rsidRPr="00770F2F">
        <w:t xml:space="preserve"> nimetus antakse isikule, kes on annetanud kalendriaasta jooksul vähemalt 30 000 kuni 100 000 eurot või sarnases väärtuses vara;</w:t>
      </w:r>
    </w:p>
    <w:p w14:paraId="24BD7607" w14:textId="6066B191" w:rsidR="00770F2F" w:rsidRPr="00770F2F" w:rsidRDefault="00770F2F" w:rsidP="00770F2F">
      <w:pPr>
        <w:pStyle w:val="Bodym"/>
      </w:pPr>
      <w:r w:rsidRPr="00770F2F">
        <w:t xml:space="preserve">„Toetaja“ </w:t>
      </w:r>
      <w:r w:rsidR="00AB7E42">
        <w:t>–</w:t>
      </w:r>
      <w:r w:rsidRPr="00770F2F">
        <w:t xml:space="preserve"> nimetus antakse isikule, kes on annetanud kalendriaasta jooksul vähemalt 5000 kuni 30 000 eurot või sarnases väärtuses vara.</w:t>
      </w:r>
    </w:p>
    <w:p w14:paraId="1365A13E" w14:textId="72DE50AB" w:rsidR="00770F2F" w:rsidRPr="00770F2F" w:rsidRDefault="00770F2F" w:rsidP="00770F2F">
      <w:pPr>
        <w:pStyle w:val="Loetelum"/>
        <w:rPr>
          <w:b w:val="0"/>
          <w:bCs/>
        </w:rPr>
      </w:pPr>
      <w:r w:rsidRPr="00770F2F">
        <w:rPr>
          <w:b w:val="0"/>
          <w:bCs/>
        </w:rPr>
        <w:t>Kuldsponsori, suurtoetaja ja toetaja nimetuse annab rektor vilist</w:t>
      </w:r>
      <w:r w:rsidR="00F54070">
        <w:rPr>
          <w:b w:val="0"/>
          <w:bCs/>
        </w:rPr>
        <w:t>l</w:t>
      </w:r>
      <w:r w:rsidRPr="00770F2F">
        <w:rPr>
          <w:b w:val="0"/>
          <w:bCs/>
        </w:rPr>
        <w:t>asliikumise ja toetussuhete osakonna poolt kogutud ning rektorile kinnitamiseks esitatud nimekirja alusel, mis on koostatud vastutusala juhtide, akadeemilis</w:t>
      </w:r>
      <w:r w:rsidR="00AB7E42">
        <w:rPr>
          <w:b w:val="0"/>
          <w:bCs/>
        </w:rPr>
        <w:t>t</w:t>
      </w:r>
      <w:r w:rsidRPr="00770F2F">
        <w:rPr>
          <w:b w:val="0"/>
          <w:bCs/>
        </w:rPr>
        <w:t>e struktuuriüksus</w:t>
      </w:r>
      <w:r w:rsidR="00AB7E42">
        <w:rPr>
          <w:b w:val="0"/>
          <w:bCs/>
        </w:rPr>
        <w:t>t</w:t>
      </w:r>
      <w:r w:rsidRPr="00770F2F">
        <w:rPr>
          <w:b w:val="0"/>
          <w:bCs/>
        </w:rPr>
        <w:t>e juhtide, ettevõtlusosakonna juhi ning vilistlasliikumise ja toetussuhete osakonna</w:t>
      </w:r>
      <w:r w:rsidR="00F73D46">
        <w:rPr>
          <w:b w:val="0"/>
          <w:bCs/>
        </w:rPr>
        <w:t xml:space="preserve"> </w:t>
      </w:r>
      <w:r w:rsidRPr="00770F2F">
        <w:rPr>
          <w:b w:val="0"/>
          <w:bCs/>
        </w:rPr>
        <w:t>ettepanekute aluse</w:t>
      </w:r>
      <w:r w:rsidR="00F73D46">
        <w:rPr>
          <w:b w:val="0"/>
          <w:bCs/>
        </w:rPr>
        <w:t>l</w:t>
      </w:r>
      <w:r w:rsidRPr="00770F2F">
        <w:rPr>
          <w:b w:val="0"/>
          <w:bCs/>
        </w:rPr>
        <w:t xml:space="preserve"> koostatud nimekirja põhjal</w:t>
      </w:r>
      <w:r w:rsidR="000778ED">
        <w:rPr>
          <w:b w:val="0"/>
          <w:bCs/>
        </w:rPr>
        <w:t>.</w:t>
      </w:r>
    </w:p>
    <w:p w14:paraId="3CE791EE" w14:textId="77777777" w:rsidR="00770F2F" w:rsidRPr="00770F2F" w:rsidRDefault="00770F2F" w:rsidP="00770F2F">
      <w:pPr>
        <w:pStyle w:val="Loetelum"/>
        <w:rPr>
          <w:b w:val="0"/>
          <w:bCs/>
        </w:rPr>
      </w:pPr>
      <w:r w:rsidRPr="00770F2F">
        <w:rPr>
          <w:b w:val="0"/>
          <w:bCs/>
        </w:rPr>
        <w:t>Kõige enam eelmisel kalendriaastal ülikoolile annetanud isikule antakse täiendav tiitel „Tallinna Tehnikaülikooli Aastasponsor“.</w:t>
      </w:r>
    </w:p>
    <w:p w14:paraId="228DB26B" w14:textId="559A4C34" w:rsidR="00770F2F" w:rsidRPr="00770F2F" w:rsidRDefault="00770F2F" w:rsidP="00770F2F">
      <w:pPr>
        <w:pStyle w:val="Loetelum"/>
        <w:rPr>
          <w:b w:val="0"/>
          <w:bCs/>
        </w:rPr>
      </w:pPr>
      <w:r w:rsidRPr="00770F2F">
        <w:rPr>
          <w:b w:val="0"/>
          <w:bCs/>
        </w:rPr>
        <w:t xml:space="preserve">Ülikool korraldab </w:t>
      </w:r>
      <w:r w:rsidR="00F73D46">
        <w:rPr>
          <w:b w:val="0"/>
          <w:bCs/>
        </w:rPr>
        <w:t>üks kord</w:t>
      </w:r>
      <w:r w:rsidRPr="00770F2F">
        <w:rPr>
          <w:b w:val="0"/>
          <w:bCs/>
        </w:rPr>
        <w:t xml:space="preserve"> kalendriaastas toetajate tänuürituse.</w:t>
      </w:r>
    </w:p>
    <w:p w14:paraId="3EA7B032" w14:textId="77777777" w:rsidR="002D00F6" w:rsidRPr="00322D85" w:rsidRDefault="002D00F6" w:rsidP="002D00F6">
      <w:pPr>
        <w:pStyle w:val="Loetelum"/>
      </w:pPr>
      <w:r w:rsidRPr="00322D85">
        <w:t>Määruse jõustumine</w:t>
      </w:r>
    </w:p>
    <w:p w14:paraId="421F3160" w14:textId="15226EA5" w:rsidR="008A24C5" w:rsidRPr="00322D85" w:rsidRDefault="002D00F6" w:rsidP="00770F2F">
      <w:pPr>
        <w:pStyle w:val="Bodym"/>
        <w:numPr>
          <w:ilvl w:val="0"/>
          <w:numId w:val="0"/>
        </w:numPr>
      </w:pPr>
      <w:r w:rsidRPr="00322D85">
        <w:t xml:space="preserve">Määrus jõustub </w:t>
      </w:r>
      <w:r w:rsidR="00770F2F">
        <w:t>selle allkirjastamisel.</w:t>
      </w:r>
    </w:p>
    <w:p w14:paraId="592524DB" w14:textId="0A3B1FA1" w:rsidR="00F73D46" w:rsidRDefault="00F73D46"/>
    <w:sectPr w:rsidR="00F73D46" w:rsidSect="00300A58">
      <w:headerReference w:type="even" r:id="rId10"/>
      <w:headerReference w:type="default" r:id="rId11"/>
      <w:footerReference w:type="even" r:id="rId12"/>
      <w:pgSz w:w="11906" w:h="16838" w:code="9"/>
      <w:pgMar w:top="680" w:right="851" w:bottom="680" w:left="1701" w:header="397" w:footer="51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2E8C" w14:textId="77777777" w:rsidR="00CB6291" w:rsidRDefault="00CB6291">
      <w:r>
        <w:separator/>
      </w:r>
    </w:p>
  </w:endnote>
  <w:endnote w:type="continuationSeparator" w:id="0">
    <w:p w14:paraId="5EA894DE" w14:textId="77777777" w:rsidR="00CB6291" w:rsidRDefault="00CB6291">
      <w:r>
        <w:continuationSeparator/>
      </w:r>
    </w:p>
  </w:endnote>
  <w:endnote w:type="continuationNotice" w:id="1">
    <w:p w14:paraId="08E5F0B6" w14:textId="77777777" w:rsidR="00CB6291" w:rsidRDefault="00CB62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ACC0" w14:textId="77777777" w:rsidR="00664E6E" w:rsidRDefault="00B01A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C61BE4" w14:textId="77777777" w:rsidR="00664E6E" w:rsidRDefault="00664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AD46" w14:textId="77777777" w:rsidR="00CB6291" w:rsidRDefault="00CB6291">
      <w:r>
        <w:separator/>
      </w:r>
    </w:p>
  </w:footnote>
  <w:footnote w:type="continuationSeparator" w:id="0">
    <w:p w14:paraId="315ABCF3" w14:textId="77777777" w:rsidR="00CB6291" w:rsidRDefault="00CB6291">
      <w:r>
        <w:continuationSeparator/>
      </w:r>
    </w:p>
  </w:footnote>
  <w:footnote w:type="continuationNotice" w:id="1">
    <w:p w14:paraId="4D7A5C2C" w14:textId="77777777" w:rsidR="00CB6291" w:rsidRDefault="00CB62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6CB2" w14:textId="77777777" w:rsidR="00664E6E" w:rsidRDefault="00B01A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34D6F5" w14:textId="77777777" w:rsidR="00664E6E" w:rsidRDefault="00664E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2501422"/>
      <w:docPartObj>
        <w:docPartGallery w:val="Page Numbers (Top of Page)"/>
        <w:docPartUnique/>
      </w:docPartObj>
    </w:sdtPr>
    <w:sdtEndPr/>
    <w:sdtContent>
      <w:p w14:paraId="36306D50" w14:textId="77777777" w:rsidR="00300A58" w:rsidRDefault="00300A5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E040D31"/>
    <w:multiLevelType w:val="multilevel"/>
    <w:tmpl w:val="B0A06DB2"/>
    <w:lvl w:ilvl="0">
      <w:start w:val="1"/>
      <w:numFmt w:val="decimal"/>
      <w:pStyle w:val="Loetelum"/>
      <w:suff w:val="space"/>
      <w:lvlText w:val="§ %1. 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Bodym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m1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12027A1"/>
    <w:multiLevelType w:val="multilevel"/>
    <w:tmpl w:val="62CCA5A8"/>
    <w:lvl w:ilvl="0">
      <w:start w:val="1"/>
      <w:numFmt w:val="decimal"/>
      <w:pStyle w:val="Lisatekst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lisam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mlisa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76A7C5C"/>
    <w:multiLevelType w:val="multilevel"/>
    <w:tmpl w:val="25FEE3C2"/>
    <w:lvl w:ilvl="0">
      <w:start w:val="1"/>
      <w:numFmt w:val="decimal"/>
      <w:pStyle w:val="Heading1"/>
      <w:suff w:val="nothing"/>
      <w:lvlText w:val="%1. peatükk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45695374">
    <w:abstractNumId w:val="3"/>
  </w:num>
  <w:num w:numId="2" w16cid:durableId="1969896682">
    <w:abstractNumId w:val="4"/>
  </w:num>
  <w:num w:numId="3" w16cid:durableId="1338071844">
    <w:abstractNumId w:val="0"/>
  </w:num>
  <w:num w:numId="4" w16cid:durableId="413823957">
    <w:abstractNumId w:val="1"/>
  </w:num>
  <w:num w:numId="5" w16cid:durableId="1221018319">
    <w:abstractNumId w:val="1"/>
  </w:num>
  <w:num w:numId="6" w16cid:durableId="110170108">
    <w:abstractNumId w:val="1"/>
  </w:num>
  <w:num w:numId="7" w16cid:durableId="1833059375">
    <w:abstractNumId w:val="1"/>
  </w:num>
  <w:num w:numId="8" w16cid:durableId="1258753657">
    <w:abstractNumId w:val="2"/>
  </w:num>
  <w:num w:numId="9" w16cid:durableId="1592470498">
    <w:abstractNumId w:val="1"/>
  </w:num>
  <w:num w:numId="10" w16cid:durableId="231701440">
    <w:abstractNumId w:val="1"/>
  </w:num>
  <w:num w:numId="11" w16cid:durableId="1363895197">
    <w:abstractNumId w:val="1"/>
  </w:num>
  <w:num w:numId="12" w16cid:durableId="2088307208">
    <w:abstractNumId w:val="1"/>
  </w:num>
  <w:num w:numId="13" w16cid:durableId="1750345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>
      <v:fill color="white"/>
      <v:textbox inset=",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E7"/>
    <w:rsid w:val="000161BB"/>
    <w:rsid w:val="00022956"/>
    <w:rsid w:val="00045E22"/>
    <w:rsid w:val="00056A9C"/>
    <w:rsid w:val="00077345"/>
    <w:rsid w:val="000778ED"/>
    <w:rsid w:val="000D7B48"/>
    <w:rsid w:val="000E0598"/>
    <w:rsid w:val="00114982"/>
    <w:rsid w:val="00133CC4"/>
    <w:rsid w:val="00136C3A"/>
    <w:rsid w:val="0014627D"/>
    <w:rsid w:val="00185B24"/>
    <w:rsid w:val="001873E4"/>
    <w:rsid w:val="001E30C3"/>
    <w:rsid w:val="00210F74"/>
    <w:rsid w:val="00220CFE"/>
    <w:rsid w:val="00272D64"/>
    <w:rsid w:val="002824BA"/>
    <w:rsid w:val="002C60A6"/>
    <w:rsid w:val="002D00F6"/>
    <w:rsid w:val="00300A58"/>
    <w:rsid w:val="0031245F"/>
    <w:rsid w:val="003159EB"/>
    <w:rsid w:val="00317795"/>
    <w:rsid w:val="00322AC0"/>
    <w:rsid w:val="00322D85"/>
    <w:rsid w:val="00335272"/>
    <w:rsid w:val="003359E5"/>
    <w:rsid w:val="00344B49"/>
    <w:rsid w:val="0037162D"/>
    <w:rsid w:val="00391473"/>
    <w:rsid w:val="003E0055"/>
    <w:rsid w:val="003F5D60"/>
    <w:rsid w:val="004012EB"/>
    <w:rsid w:val="0040333E"/>
    <w:rsid w:val="0040530C"/>
    <w:rsid w:val="0040547F"/>
    <w:rsid w:val="004107CA"/>
    <w:rsid w:val="004167E7"/>
    <w:rsid w:val="0042252F"/>
    <w:rsid w:val="00434C46"/>
    <w:rsid w:val="00453FC0"/>
    <w:rsid w:val="004555CC"/>
    <w:rsid w:val="00466707"/>
    <w:rsid w:val="00485C13"/>
    <w:rsid w:val="004B0E0D"/>
    <w:rsid w:val="004B6534"/>
    <w:rsid w:val="004C6060"/>
    <w:rsid w:val="004E660B"/>
    <w:rsid w:val="00577F41"/>
    <w:rsid w:val="00587ED2"/>
    <w:rsid w:val="005B71C5"/>
    <w:rsid w:val="005E41A4"/>
    <w:rsid w:val="00644870"/>
    <w:rsid w:val="00655B65"/>
    <w:rsid w:val="00664E6E"/>
    <w:rsid w:val="00685B50"/>
    <w:rsid w:val="00685D9B"/>
    <w:rsid w:val="00694B5C"/>
    <w:rsid w:val="006A1DC3"/>
    <w:rsid w:val="006A7898"/>
    <w:rsid w:val="006C452A"/>
    <w:rsid w:val="006E1CF0"/>
    <w:rsid w:val="006E3F85"/>
    <w:rsid w:val="006E63F7"/>
    <w:rsid w:val="006F4067"/>
    <w:rsid w:val="00714988"/>
    <w:rsid w:val="007174FE"/>
    <w:rsid w:val="00720D4C"/>
    <w:rsid w:val="0074053D"/>
    <w:rsid w:val="00747D85"/>
    <w:rsid w:val="00770F2F"/>
    <w:rsid w:val="00776DE0"/>
    <w:rsid w:val="007820B3"/>
    <w:rsid w:val="00796BD0"/>
    <w:rsid w:val="008018DF"/>
    <w:rsid w:val="00822854"/>
    <w:rsid w:val="00824B27"/>
    <w:rsid w:val="00832D31"/>
    <w:rsid w:val="00870F2D"/>
    <w:rsid w:val="008819AA"/>
    <w:rsid w:val="008A24C5"/>
    <w:rsid w:val="008F4EDB"/>
    <w:rsid w:val="00900F04"/>
    <w:rsid w:val="00911F98"/>
    <w:rsid w:val="00930B80"/>
    <w:rsid w:val="00972565"/>
    <w:rsid w:val="009745AE"/>
    <w:rsid w:val="009C14B1"/>
    <w:rsid w:val="009E44AB"/>
    <w:rsid w:val="00A16004"/>
    <w:rsid w:val="00A204FA"/>
    <w:rsid w:val="00A21113"/>
    <w:rsid w:val="00A445ED"/>
    <w:rsid w:val="00A77BDA"/>
    <w:rsid w:val="00AA13D1"/>
    <w:rsid w:val="00AA6EBA"/>
    <w:rsid w:val="00AB7E42"/>
    <w:rsid w:val="00AD2A11"/>
    <w:rsid w:val="00AD4F2A"/>
    <w:rsid w:val="00AD5505"/>
    <w:rsid w:val="00AD6477"/>
    <w:rsid w:val="00B01A0A"/>
    <w:rsid w:val="00B23D2E"/>
    <w:rsid w:val="00B666E3"/>
    <w:rsid w:val="00B67AAA"/>
    <w:rsid w:val="00B937B6"/>
    <w:rsid w:val="00BC75A6"/>
    <w:rsid w:val="00BF2937"/>
    <w:rsid w:val="00BF6405"/>
    <w:rsid w:val="00C11D43"/>
    <w:rsid w:val="00C36459"/>
    <w:rsid w:val="00C51C87"/>
    <w:rsid w:val="00C570F2"/>
    <w:rsid w:val="00CB6291"/>
    <w:rsid w:val="00CC0123"/>
    <w:rsid w:val="00CC54D7"/>
    <w:rsid w:val="00CE5D1C"/>
    <w:rsid w:val="00CF6EFF"/>
    <w:rsid w:val="00D10066"/>
    <w:rsid w:val="00D20826"/>
    <w:rsid w:val="00D35CE1"/>
    <w:rsid w:val="00D45157"/>
    <w:rsid w:val="00D71785"/>
    <w:rsid w:val="00D73B85"/>
    <w:rsid w:val="00D803FE"/>
    <w:rsid w:val="00D82C55"/>
    <w:rsid w:val="00D86176"/>
    <w:rsid w:val="00DA41AF"/>
    <w:rsid w:val="00DB5D45"/>
    <w:rsid w:val="00DD2116"/>
    <w:rsid w:val="00DD488F"/>
    <w:rsid w:val="00DF47A0"/>
    <w:rsid w:val="00E35C69"/>
    <w:rsid w:val="00E77564"/>
    <w:rsid w:val="00E825F5"/>
    <w:rsid w:val="00E854FF"/>
    <w:rsid w:val="00EB357F"/>
    <w:rsid w:val="00EC096A"/>
    <w:rsid w:val="00EF3746"/>
    <w:rsid w:val="00F42298"/>
    <w:rsid w:val="00F50E19"/>
    <w:rsid w:val="00F517A3"/>
    <w:rsid w:val="00F54070"/>
    <w:rsid w:val="00F73D46"/>
    <w:rsid w:val="00F75D96"/>
    <w:rsid w:val="00F875F9"/>
    <w:rsid w:val="00F9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102E2D87"/>
  <w15:docId w15:val="{2B76ED59-1EC4-40C4-9EB3-E3FAF3F2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18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1A0A"/>
  </w:style>
  <w:style w:type="paragraph" w:styleId="Heading1">
    <w:name w:val="heading 1"/>
    <w:basedOn w:val="Normal"/>
    <w:next w:val="Loetelum"/>
    <w:qFormat/>
    <w:rsid w:val="0014627D"/>
    <w:pPr>
      <w:keepNext/>
      <w:numPr>
        <w:numId w:val="2"/>
      </w:numPr>
      <w:spacing w:before="360" w:after="200"/>
      <w:jc w:val="center"/>
      <w:outlineLvl w:val="0"/>
    </w:pPr>
    <w:rPr>
      <w:b/>
      <w:kern w:val="32"/>
      <w:szCs w:val="32"/>
    </w:rPr>
  </w:style>
  <w:style w:type="paragraph" w:styleId="Heading2">
    <w:name w:val="heading 2"/>
    <w:basedOn w:val="Normal"/>
    <w:next w:val="Normal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</w:style>
  <w:style w:type="character" w:styleId="PageNumber">
    <w:name w:val="page number"/>
    <w:basedOn w:val="DefaultParagraphFont"/>
  </w:style>
  <w:style w:type="paragraph" w:customStyle="1" w:styleId="Bodym1">
    <w:name w:val="Bodym1"/>
    <w:basedOn w:val="Bodym"/>
    <w:rsid w:val="00DD488F"/>
    <w:pPr>
      <w:numPr>
        <w:ilvl w:val="2"/>
      </w:numPr>
      <w:spacing w:before="0"/>
    </w:pPr>
  </w:style>
  <w:style w:type="paragraph" w:customStyle="1" w:styleId="Loetelu">
    <w:name w:val="Loetelu"/>
    <w:basedOn w:val="BodyText"/>
    <w:pPr>
      <w:spacing w:before="120"/>
    </w:pPr>
  </w:style>
  <w:style w:type="paragraph" w:customStyle="1" w:styleId="Bodyt">
    <w:name w:val="Bodyt"/>
    <w:basedOn w:val="Normal"/>
  </w:style>
  <w:style w:type="paragraph" w:customStyle="1" w:styleId="Loetelum">
    <w:name w:val="Loetelum"/>
    <w:basedOn w:val="Loetelu"/>
    <w:rsid w:val="00DD488F"/>
    <w:pPr>
      <w:keepNext/>
      <w:numPr>
        <w:numId w:val="13"/>
      </w:numPr>
    </w:pPr>
    <w:rPr>
      <w:b/>
    </w:rPr>
  </w:style>
  <w:style w:type="paragraph" w:customStyle="1" w:styleId="Bodym">
    <w:name w:val="Bodym"/>
    <w:basedOn w:val="Bodyt"/>
    <w:rsid w:val="00DD488F"/>
    <w:pPr>
      <w:numPr>
        <w:ilvl w:val="1"/>
        <w:numId w:val="13"/>
      </w:numPr>
      <w:spacing w:before="80"/>
    </w:pPr>
  </w:style>
  <w:style w:type="paragraph" w:customStyle="1" w:styleId="Body">
    <w:name w:val="Body"/>
    <w:basedOn w:val="Normal"/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Bodyl">
    <w:name w:val="Bodyl"/>
    <w:basedOn w:val="Body"/>
    <w:rsid w:val="000D7B48"/>
    <w:pPr>
      <w:jc w:val="right"/>
    </w:pPr>
  </w:style>
  <w:style w:type="paragraph" w:customStyle="1" w:styleId="Lisatekstm">
    <w:name w:val="Lisatekstm"/>
    <w:basedOn w:val="Normal"/>
    <w:rsid w:val="000D7B48"/>
    <w:pPr>
      <w:numPr>
        <w:numId w:val="8"/>
      </w:numPr>
      <w:tabs>
        <w:tab w:val="left" w:pos="6521"/>
      </w:tabs>
      <w:spacing w:before="120"/>
    </w:pPr>
  </w:style>
  <w:style w:type="paragraph" w:customStyle="1" w:styleId="Bodylisam">
    <w:name w:val="Bodylisam"/>
    <w:basedOn w:val="Lisatekstm"/>
    <w:rsid w:val="00B01A0A"/>
    <w:pPr>
      <w:numPr>
        <w:ilvl w:val="1"/>
      </w:numPr>
      <w:spacing w:before="0"/>
    </w:pPr>
  </w:style>
  <w:style w:type="paragraph" w:customStyle="1" w:styleId="Bodymlisa">
    <w:name w:val="Bodymlisa"/>
    <w:basedOn w:val="Lisatekstm"/>
    <w:rsid w:val="000D7B48"/>
    <w:pPr>
      <w:numPr>
        <w:ilvl w:val="2"/>
      </w:numPr>
      <w:spacing w:before="0"/>
    </w:pPr>
  </w:style>
  <w:style w:type="paragraph" w:customStyle="1" w:styleId="Dokumendinimetus">
    <w:name w:val="Dokumendi nimetus"/>
    <w:basedOn w:val="Normal"/>
    <w:next w:val="BodyText"/>
    <w:qFormat/>
    <w:rsid w:val="00DD488F"/>
    <w:pPr>
      <w:spacing w:before="920"/>
      <w:ind w:right="4706"/>
    </w:pPr>
    <w:rPr>
      <w:caps/>
      <w:sz w:val="28"/>
    </w:rPr>
  </w:style>
  <w:style w:type="paragraph" w:customStyle="1" w:styleId="Tallinn">
    <w:name w:val="Tallinn"/>
    <w:basedOn w:val="BodyText"/>
    <w:next w:val="BodyText"/>
    <w:qFormat/>
    <w:rsid w:val="00DD488F"/>
    <w:pPr>
      <w:tabs>
        <w:tab w:val="left" w:pos="6237"/>
      </w:tabs>
      <w:spacing w:before="80" w:after="120"/>
    </w:pPr>
  </w:style>
  <w:style w:type="paragraph" w:customStyle="1" w:styleId="Pealkiri">
    <w:name w:val="Pealkiri"/>
    <w:basedOn w:val="Normal"/>
    <w:next w:val="Normal"/>
    <w:qFormat/>
    <w:rsid w:val="0014627D"/>
    <w:pPr>
      <w:spacing w:before="840" w:after="480"/>
      <w:ind w:right="5103"/>
    </w:pPr>
    <w:rPr>
      <w:b/>
    </w:rPr>
  </w:style>
  <w:style w:type="paragraph" w:customStyle="1" w:styleId="Tekst">
    <w:name w:val="Tekst"/>
    <w:basedOn w:val="BodyText"/>
    <w:rsid w:val="00DD488F"/>
    <w:pPr>
      <w:spacing w:after="120"/>
    </w:pPr>
  </w:style>
  <w:style w:type="paragraph" w:customStyle="1" w:styleId="Nimiall">
    <w:name w:val="Nimi all"/>
    <w:basedOn w:val="Normal"/>
    <w:qFormat/>
    <w:rsid w:val="00AD6477"/>
    <w:pPr>
      <w:tabs>
        <w:tab w:val="left" w:pos="5103"/>
      </w:tabs>
      <w:spacing w:before="960"/>
    </w:pPr>
  </w:style>
  <w:style w:type="paragraph" w:customStyle="1" w:styleId="Allkirjastajanimi">
    <w:name w:val="Allkirjastaja nimi"/>
    <w:basedOn w:val="BodyText"/>
    <w:next w:val="BodyText"/>
    <w:qFormat/>
    <w:rsid w:val="00C36459"/>
  </w:style>
  <w:style w:type="paragraph" w:customStyle="1" w:styleId="Allkirjastatuddigit">
    <w:name w:val="Allkirjastatud digit"/>
    <w:basedOn w:val="BodyText"/>
    <w:qFormat/>
    <w:rsid w:val="00D20826"/>
    <w:pPr>
      <w:spacing w:before="480" w:after="120"/>
    </w:pPr>
  </w:style>
  <w:style w:type="table" w:styleId="TableGrid">
    <w:name w:val="Table Grid"/>
    <w:basedOn w:val="TableNormal"/>
    <w:rsid w:val="0033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apealkiri">
    <w:name w:val="Lisapealkiri"/>
    <w:basedOn w:val="Normal"/>
    <w:qFormat/>
    <w:rsid w:val="00B01A0A"/>
    <w:pPr>
      <w:tabs>
        <w:tab w:val="left" w:pos="6521"/>
      </w:tabs>
      <w:spacing w:before="240" w:after="240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B01A0A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ra.ttu.ee\settings\doctemplates\Senati_m&#228;&#228;rus_lisag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9F37F81358345BBF18940582FF4B8" ma:contentTypeVersion="14" ma:contentTypeDescription="Create a new document." ma:contentTypeScope="" ma:versionID="dd330a3e05ba58eb491dd484e32e68a5">
  <xsd:schema xmlns:xsd="http://www.w3.org/2001/XMLSchema" xmlns:xs="http://www.w3.org/2001/XMLSchema" xmlns:p="http://schemas.microsoft.com/office/2006/metadata/properties" xmlns:ns2="9b46b002-810e-45f6-a90e-880869899eb2" xmlns:ns3="c559d0dc-0d5e-4c40-8c16-36d4ddd0575a" targetNamespace="http://schemas.microsoft.com/office/2006/metadata/properties" ma:root="true" ma:fieldsID="e9387207b83858001e4f4ff22c136a63" ns2:_="" ns3:_="">
    <xsd:import namespace="9b46b002-810e-45f6-a90e-880869899eb2"/>
    <xsd:import namespace="c559d0dc-0d5e-4c40-8c16-36d4ddd05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b002-810e-45f6-a90e-880869899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e5263c0-7114-47d3-8603-0e3ef132c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9d0dc-0d5e-4c40-8c16-36d4ddd0575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abac4f-3a03-4b45-ad1f-e21acfaadc31}" ma:internalName="TaxCatchAll" ma:showField="CatchAllData" ma:web="c559d0dc-0d5e-4c40-8c16-36d4ddd057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97E739-D2A5-4B22-89AA-BBE95F89B4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334D06-72A6-448B-AAB7-2F037D2E8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6b002-810e-45f6-a90e-880869899eb2"/>
    <ds:schemaRef ds:uri="c559d0dc-0d5e-4c40-8c16-36d4ddd05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C229CA-7F5A-4CBD-AB3E-903A3C7CE9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Senati_määrus_lisaga</Template>
  <TotalTime>3</TotalTime>
  <Pages>1</Pages>
  <Words>261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Tehnikaülikool</vt:lpstr>
    </vt:vector>
  </TitlesOfParts>
  <Company>TTY  Informaatikainstituut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Tehnikaülikool</dc:title>
  <dc:subject>määrus</dc:subject>
  <dc:creator>Tõnu Pihelgas</dc:creator>
  <cp:keywords/>
  <cp:lastModifiedBy>Kairi Schütz</cp:lastModifiedBy>
  <cp:revision>4</cp:revision>
  <cp:lastPrinted>2009-01-23T22:28:00Z</cp:lastPrinted>
  <dcterms:created xsi:type="dcterms:W3CDTF">2023-05-18T04:34:00Z</dcterms:created>
  <dcterms:modified xsi:type="dcterms:W3CDTF">2023-05-18T04:45:00Z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RegistrationNo">
    <vt:lpwstr>[number]</vt:lpwstr>
  </property>
  <property fmtid="{D5CDD505-2E9C-101B-9397-08002B2CF9AE}" pid="3" name="DLX:Registered">
    <vt:lpwstr>[kuupäev]</vt:lpwstr>
  </property>
</Properties>
</file>