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F" w:rsidRPr="00917221" w:rsidRDefault="0031245F">
      <w:pPr>
        <w:pStyle w:val="BodyText"/>
        <w:rPr>
          <w:rFonts w:cs="Calibri"/>
          <w:szCs w:val="22"/>
        </w:rPr>
        <w:sectPr w:rsidR="0031245F" w:rsidRPr="00917221" w:rsidSect="005657C3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284" w:right="0" w:bottom="510" w:left="0" w:header="454" w:footer="510" w:gutter="0"/>
          <w:cols w:space="708"/>
          <w:titlePg/>
        </w:sectPr>
      </w:pPr>
    </w:p>
    <w:p w:rsidR="005657C3" w:rsidRPr="00917221" w:rsidRDefault="005657C3" w:rsidP="005657C3">
      <w:pPr>
        <w:pStyle w:val="Dokumendinimetus"/>
        <w:spacing w:before="0"/>
        <w:ind w:right="-2"/>
        <w:jc w:val="right"/>
        <w:rPr>
          <w:rFonts w:cs="Calibri"/>
          <w:sz w:val="22"/>
          <w:szCs w:val="22"/>
        </w:rPr>
      </w:pPr>
      <w:r w:rsidRPr="00917221">
        <w:rPr>
          <w:rFonts w:cs="Calibri"/>
          <w:sz w:val="22"/>
          <w:szCs w:val="22"/>
        </w:rPr>
        <w:t>terviktekst</w:t>
      </w:r>
    </w:p>
    <w:p w:rsidR="005657C3" w:rsidRPr="00917221" w:rsidRDefault="005657C3" w:rsidP="005657C3">
      <w:pPr>
        <w:pStyle w:val="Pealkiri"/>
        <w:spacing w:before="40" w:after="0"/>
        <w:ind w:right="0"/>
        <w:rPr>
          <w:rFonts w:cs="Calibri"/>
          <w:b w:val="0"/>
          <w:szCs w:val="22"/>
        </w:rPr>
      </w:pPr>
      <w:r w:rsidRPr="00917221">
        <w:rPr>
          <w:rFonts w:cs="Calibri"/>
          <w:b w:val="0"/>
          <w:szCs w:val="22"/>
        </w:rPr>
        <w:t>Kehtestatud Tallinna Tehnikaülikooli nõukogu 16.10.2018 määrusega nr 5 (jõustunud 18.10.2018)</w:t>
      </w:r>
    </w:p>
    <w:p w:rsidR="006B529B" w:rsidRPr="00917221" w:rsidRDefault="006B529B" w:rsidP="006B529B">
      <w:r w:rsidRPr="00917221">
        <w:t>Muudetud Tallinna Tehnikaülikooli nõukogu 21.05.2019 määrusega nr 3 (jõustunud 14.08.2019)</w:t>
      </w:r>
    </w:p>
    <w:p w:rsidR="000443D4" w:rsidRPr="00917221" w:rsidRDefault="000443D4" w:rsidP="006B529B">
      <w:r w:rsidRPr="00917221">
        <w:t>Muudetud Tallinna Tehnikaülikooli senati 22.10.2019 määrusega nr 9 (jõustunud 01.11.2019)</w:t>
      </w:r>
    </w:p>
    <w:p w:rsidR="005657C3" w:rsidRPr="00917221" w:rsidRDefault="005657C3" w:rsidP="005657C3"/>
    <w:p w:rsidR="005657C3" w:rsidRPr="00917221" w:rsidRDefault="005657C3" w:rsidP="005657C3">
      <w:r w:rsidRPr="00917221">
        <w:rPr>
          <w:bCs/>
        </w:rPr>
        <w:t xml:space="preserve">Redaktsiooni jõustumise kuupäev: </w:t>
      </w:r>
      <w:r w:rsidR="000443D4" w:rsidRPr="00917221">
        <w:t>01.11.2019</w:t>
      </w:r>
    </w:p>
    <w:p w:rsidR="005657C3" w:rsidRPr="00917221" w:rsidRDefault="005657C3" w:rsidP="005657C3">
      <w:pPr>
        <w:pStyle w:val="Pealkiri"/>
        <w:spacing w:before="0" w:after="0"/>
        <w:rPr>
          <w:rFonts w:cs="Calibri"/>
          <w:szCs w:val="22"/>
        </w:rPr>
      </w:pPr>
    </w:p>
    <w:p w:rsidR="001E30C3" w:rsidRPr="00917221" w:rsidRDefault="00E76DC2" w:rsidP="005657C3">
      <w:pPr>
        <w:pStyle w:val="Pealkiri"/>
        <w:spacing w:before="0" w:after="0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Täiendusõppe eeskiri</w:t>
      </w:r>
    </w:p>
    <w:p w:rsidR="005657C3" w:rsidRPr="00917221" w:rsidRDefault="005657C3" w:rsidP="005657C3">
      <w:pPr>
        <w:rPr>
          <w:rFonts w:cs="Calibri"/>
          <w:szCs w:val="22"/>
        </w:rPr>
      </w:pPr>
    </w:p>
    <w:p w:rsidR="001E30C3" w:rsidRPr="00917221" w:rsidRDefault="001E30C3" w:rsidP="003359E5">
      <w:pPr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Määrus kehtestatakse </w:t>
      </w:r>
      <w:r w:rsidR="00554471" w:rsidRPr="00917221">
        <w:rPr>
          <w:rFonts w:cs="Calibri"/>
          <w:szCs w:val="22"/>
        </w:rPr>
        <w:t>ülikool</w:t>
      </w:r>
      <w:r w:rsidR="00E76DC2" w:rsidRPr="00917221">
        <w:rPr>
          <w:rFonts w:cs="Calibri"/>
          <w:szCs w:val="22"/>
        </w:rPr>
        <w:t>iseaduse § 14 lg 3 p 8</w:t>
      </w:r>
      <w:r w:rsidRPr="00917221">
        <w:rPr>
          <w:rFonts w:cs="Calibri"/>
          <w:szCs w:val="22"/>
        </w:rPr>
        <w:t xml:space="preserve"> alusel.</w:t>
      </w:r>
    </w:p>
    <w:p w:rsidR="00E76DC2" w:rsidRPr="00917221" w:rsidRDefault="00E76DC2" w:rsidP="003359E5">
      <w:pPr>
        <w:rPr>
          <w:rFonts w:cs="Calibri"/>
          <w:szCs w:val="22"/>
        </w:rPr>
      </w:pPr>
    </w:p>
    <w:p w:rsidR="006E63F7" w:rsidRPr="00917221" w:rsidRDefault="00E76DC2" w:rsidP="006E63F7">
      <w:pPr>
        <w:pStyle w:val="Loetelum"/>
        <w:rPr>
          <w:rFonts w:cs="Calibri"/>
          <w:szCs w:val="22"/>
        </w:rPr>
      </w:pPr>
      <w:proofErr w:type="spellStart"/>
      <w:r w:rsidRPr="00917221">
        <w:rPr>
          <w:rFonts w:cs="Calibri"/>
          <w:szCs w:val="22"/>
        </w:rPr>
        <w:t>Üldsätted</w:t>
      </w:r>
      <w:proofErr w:type="spellEnd"/>
    </w:p>
    <w:p w:rsidR="0093135C" w:rsidRPr="00917221" w:rsidRDefault="00E76DC2" w:rsidP="00B746D8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Käesoleva eeskirjaga kehtestatakse </w:t>
      </w:r>
      <w:r w:rsidR="0093135C" w:rsidRPr="00917221">
        <w:rPr>
          <w:rFonts w:cs="Calibri"/>
          <w:szCs w:val="22"/>
        </w:rPr>
        <w:t>Tallinna Teh</w:t>
      </w:r>
      <w:r w:rsidR="008E38BA" w:rsidRPr="00917221">
        <w:rPr>
          <w:rFonts w:cs="Calibri"/>
          <w:szCs w:val="22"/>
        </w:rPr>
        <w:t>nika</w:t>
      </w:r>
      <w:r w:rsidR="00554471" w:rsidRPr="00917221">
        <w:rPr>
          <w:rFonts w:cs="Calibri"/>
          <w:szCs w:val="22"/>
        </w:rPr>
        <w:t>ülikool</w:t>
      </w:r>
      <w:r w:rsidR="008E38BA" w:rsidRPr="00917221">
        <w:rPr>
          <w:rFonts w:cs="Calibri"/>
          <w:szCs w:val="22"/>
        </w:rPr>
        <w:t xml:space="preserve">is (edaspidi </w:t>
      </w:r>
      <w:r w:rsidR="00554471" w:rsidRPr="00917221">
        <w:rPr>
          <w:rFonts w:cs="Calibri"/>
          <w:szCs w:val="22"/>
        </w:rPr>
        <w:t>ülikool</w:t>
      </w:r>
      <w:r w:rsidR="0093135C" w:rsidRPr="00917221">
        <w:rPr>
          <w:rFonts w:cs="Calibri"/>
          <w:szCs w:val="22"/>
        </w:rPr>
        <w:t xml:space="preserve">) </w:t>
      </w:r>
      <w:r w:rsidRPr="00917221">
        <w:rPr>
          <w:rFonts w:cs="Calibri"/>
          <w:szCs w:val="22"/>
        </w:rPr>
        <w:t xml:space="preserve">täiendusõppe </w:t>
      </w:r>
      <w:r w:rsidR="0093135C" w:rsidRPr="00917221">
        <w:rPr>
          <w:rFonts w:cs="Calibri"/>
          <w:szCs w:val="22"/>
        </w:rPr>
        <w:t xml:space="preserve">valdkonnad, täiendusõppe </w:t>
      </w:r>
      <w:r w:rsidRPr="00917221">
        <w:rPr>
          <w:rFonts w:cs="Calibri"/>
          <w:szCs w:val="22"/>
        </w:rPr>
        <w:t xml:space="preserve">korraldamise </w:t>
      </w:r>
      <w:r w:rsidR="0093135C" w:rsidRPr="00917221">
        <w:rPr>
          <w:rFonts w:cs="Calibri"/>
          <w:szCs w:val="22"/>
        </w:rPr>
        <w:t xml:space="preserve">ja kvaliteedi tagamise </w:t>
      </w:r>
      <w:r w:rsidRPr="00917221">
        <w:rPr>
          <w:rFonts w:cs="Calibri"/>
          <w:szCs w:val="22"/>
        </w:rPr>
        <w:t>põhimõtted</w:t>
      </w:r>
      <w:r w:rsidR="005764EB" w:rsidRPr="00917221">
        <w:rPr>
          <w:rFonts w:cs="Calibri"/>
          <w:szCs w:val="22"/>
        </w:rPr>
        <w:t xml:space="preserve"> ning </w:t>
      </w:r>
      <w:r w:rsidR="0093135C" w:rsidRPr="00917221">
        <w:rPr>
          <w:rFonts w:cs="Calibri"/>
          <w:szCs w:val="22"/>
        </w:rPr>
        <w:t>täiendusõppes varasemate  õpingute ja töökogemus</w:t>
      </w:r>
      <w:r w:rsidR="00DE5147" w:rsidRPr="00917221">
        <w:rPr>
          <w:rFonts w:cs="Calibri"/>
          <w:szCs w:val="22"/>
        </w:rPr>
        <w:t>te arvestamise (edas</w:t>
      </w:r>
      <w:r w:rsidR="0093135C" w:rsidRPr="00917221">
        <w:rPr>
          <w:rFonts w:cs="Calibri"/>
          <w:szCs w:val="22"/>
        </w:rPr>
        <w:t>pidi VÕTA)</w:t>
      </w:r>
      <w:r w:rsidR="005764EB" w:rsidRPr="00917221">
        <w:rPr>
          <w:rFonts w:cs="Calibri"/>
          <w:szCs w:val="22"/>
        </w:rPr>
        <w:t xml:space="preserve"> tingimus</w:t>
      </w:r>
      <w:r w:rsidR="0093135C" w:rsidRPr="00917221">
        <w:rPr>
          <w:rFonts w:cs="Calibri"/>
          <w:szCs w:val="22"/>
        </w:rPr>
        <w:t>.</w:t>
      </w:r>
    </w:p>
    <w:p w:rsidR="00E76DC2" w:rsidRPr="00917221" w:rsidRDefault="00E76DC2" w:rsidP="00B746D8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Täiendusõpet võib läbi viia kõikides rahvusvahelise ühtse hariduse liigituse standardis (ISCED) nimetatud õppevaldkondades.</w:t>
      </w:r>
    </w:p>
    <w:p w:rsidR="00E76DC2" w:rsidRPr="00917221" w:rsidRDefault="00E76DC2" w:rsidP="00E76DC2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 korraldamisel lähtutakse täiskasvanute koolituse seadusest, haridus- ja teadusministri kehtestatud täienduskoolituse standardist, Eesti elukestva õppe strateegiast 2020, erinevate valdkondade kutsestandarditest,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>i arengukavast 2020 ja teistest täiendusõpet reguleerivatest õigusaktidest.</w:t>
      </w:r>
    </w:p>
    <w:p w:rsidR="00E76DC2" w:rsidRPr="00917221" w:rsidRDefault="00E76DC2" w:rsidP="00E76DC2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Täiendusõpe on osa elukestvast õppest, mis võimaldab osalejale enesetäiendamist töö- või huvialal, sh ümberõppena. </w:t>
      </w:r>
      <w:r w:rsidR="00554471" w:rsidRPr="00917221">
        <w:rPr>
          <w:rFonts w:cs="Calibri"/>
          <w:szCs w:val="22"/>
        </w:rPr>
        <w:t>Ülikool</w:t>
      </w:r>
      <w:r w:rsidR="008E38BA" w:rsidRPr="00917221">
        <w:rPr>
          <w:rFonts w:cs="Calibri"/>
          <w:szCs w:val="22"/>
        </w:rPr>
        <w:t>is</w:t>
      </w:r>
      <w:r w:rsidRPr="00917221">
        <w:rPr>
          <w:rFonts w:cs="Calibri"/>
          <w:szCs w:val="22"/>
        </w:rPr>
        <w:t xml:space="preserve"> määratletakse täiendusõpe järgmiselt: </w:t>
      </w:r>
    </w:p>
    <w:p w:rsidR="00E76DC2" w:rsidRPr="00917221" w:rsidRDefault="00E76DC2" w:rsidP="00E76DC2">
      <w:pPr>
        <w:pStyle w:val="Bodym1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täiendusõppe õppekavade alusel toimuv õpe (edaspidi täiendusõpe);</w:t>
      </w:r>
    </w:p>
    <w:p w:rsidR="00E76DC2" w:rsidRPr="00917221" w:rsidRDefault="00E76DC2" w:rsidP="00E76DC2">
      <w:pPr>
        <w:pStyle w:val="Bodym1"/>
        <w:rPr>
          <w:rFonts w:cs="Calibri"/>
          <w:szCs w:val="22"/>
        </w:rPr>
      </w:pPr>
      <w:r w:rsidRPr="00917221">
        <w:rPr>
          <w:rFonts w:cs="Calibri"/>
          <w:szCs w:val="22"/>
        </w:rPr>
        <w:t>tasemeõppe õppekavade õppeainete alusel toimuv õpe (edaspidi avatud õpe).</w:t>
      </w:r>
    </w:p>
    <w:p w:rsidR="00E76DC2" w:rsidRPr="00917221" w:rsidRDefault="00E76DC2" w:rsidP="00E76DC2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Täiendusõppur on isik, kes õpib täiendusõppe õppekava alusel toimuvas täiendusõppes või avatud õppes.</w:t>
      </w:r>
    </w:p>
    <w:p w:rsidR="00E76DC2" w:rsidRPr="00917221" w:rsidRDefault="00E76DC2" w:rsidP="00E76DC2">
      <w:pPr>
        <w:pStyle w:val="Loetelu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Täiendusõppe planeerimine ja korraldamine</w:t>
      </w:r>
    </w:p>
    <w:p w:rsidR="00CC3580" w:rsidRPr="00917221" w:rsidRDefault="00CC3580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 tegevusvaldkonda juhib õppeprorektor ja koordineerib 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>.</w:t>
      </w:r>
    </w:p>
    <w:p w:rsidR="00CC3580" w:rsidRPr="00917221" w:rsidRDefault="00CC3580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Täiendusõpet korraldatakse </w:t>
      </w:r>
      <w:r w:rsidR="00554471" w:rsidRPr="00917221">
        <w:rPr>
          <w:rFonts w:cs="Calibri"/>
          <w:szCs w:val="22"/>
        </w:rPr>
        <w:t>ülikool</w:t>
      </w:r>
      <w:r w:rsidR="008E38BA" w:rsidRPr="00917221">
        <w:rPr>
          <w:rFonts w:cs="Calibri"/>
          <w:szCs w:val="22"/>
        </w:rPr>
        <w:t>i</w:t>
      </w:r>
      <w:r w:rsidRPr="00917221">
        <w:rPr>
          <w:rFonts w:cs="Calibri"/>
          <w:szCs w:val="22"/>
        </w:rPr>
        <w:t xml:space="preserve"> õppekorralduse üldistest nõuetest lähtuvalt täiendusõppe õppekavade alusel või avatud õppes üksikute tasemeõppe õppekavade õppeainete läbimisel.</w:t>
      </w:r>
    </w:p>
    <w:p w:rsidR="00CC3580" w:rsidRPr="00917221" w:rsidRDefault="00CC3580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 teenust osutavad teaduskonnad, instituudid, 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 jt haldus- ja tugistruktuuriüksused üksuse kirjeldustes toodud ülesannete kohaselt.</w:t>
      </w:r>
    </w:p>
    <w:p w:rsidR="00CC3580" w:rsidRPr="00917221" w:rsidRDefault="00CC3580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Täiendusõppe õppekava sisu kvaliteedi, õppekava andmete täiendusõppe infosüsteemi (edaspidi TÕIS) sisestamise eest vastutab täiendusõpet korraldava instituudi või üksus</w:t>
      </w:r>
      <w:r w:rsidR="00056CAB" w:rsidRPr="00917221">
        <w:rPr>
          <w:rFonts w:cs="Calibri"/>
          <w:szCs w:val="22"/>
        </w:rPr>
        <w:t xml:space="preserve">e juht või tema poolt määratud </w:t>
      </w:r>
      <w:r w:rsidRPr="00917221">
        <w:rPr>
          <w:rFonts w:cs="Calibri"/>
          <w:szCs w:val="22"/>
        </w:rPr>
        <w:t>isik.</w:t>
      </w:r>
    </w:p>
    <w:p w:rsidR="00603E5F" w:rsidRPr="00917221" w:rsidRDefault="00603E5F" w:rsidP="00603E5F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 tagab täiendusõppe tugiteenused vastavalt innovatsiooni ja ettevõtlussuhete prorektori kehtestatud 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>i struktuurile ja ülesannete kirjeldusele.</w:t>
      </w:r>
    </w:p>
    <w:p w:rsidR="00CC3580" w:rsidRPr="00917221" w:rsidRDefault="00CC3580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Õppemahtu arvestatakse Euroopa ainepunktisüsteemi ainepunktides (EAP).</w:t>
      </w:r>
    </w:p>
    <w:p w:rsidR="00CC3580" w:rsidRPr="00917221" w:rsidRDefault="00CC3580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Täiendusõpet korraldatakse õppepäevana, kursusena või kursuste tsüklina. Täiendusõpe võib toimuda kontaktõppe, e-õppe, iseseisva töö või praktilise töö vormis.</w:t>
      </w:r>
    </w:p>
    <w:p w:rsidR="00CC3580" w:rsidRPr="00917221" w:rsidRDefault="006B529B" w:rsidP="006B529B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Täiendusõppeteenuse osutamine avatud õppes toimub täiendusõppuri ja ülikooli vahel sõlmitud tsiviilõigusliku täiendusõppeteenuse lepingu alusel. Nimetatud lepingu eritingimuste tüüpvormi ja </w:t>
      </w:r>
      <w:proofErr w:type="spellStart"/>
      <w:r w:rsidRPr="00917221">
        <w:rPr>
          <w:rFonts w:cs="Calibri"/>
          <w:szCs w:val="22"/>
        </w:rPr>
        <w:t>üldtingimused</w:t>
      </w:r>
      <w:proofErr w:type="spellEnd"/>
      <w:r w:rsidRPr="00917221">
        <w:rPr>
          <w:rFonts w:cs="Calibri"/>
          <w:szCs w:val="22"/>
        </w:rPr>
        <w:t xml:space="preserve"> kinnitab rektor ning see sõlmitakse õppeinfosüsteemis kirjalikku </w:t>
      </w:r>
      <w:proofErr w:type="spellStart"/>
      <w:r w:rsidRPr="00917221">
        <w:rPr>
          <w:rFonts w:cs="Calibri"/>
          <w:szCs w:val="22"/>
        </w:rPr>
        <w:t>taasesitamist</w:t>
      </w:r>
      <w:proofErr w:type="spellEnd"/>
      <w:r w:rsidRPr="00917221">
        <w:rPr>
          <w:rFonts w:cs="Calibri"/>
          <w:szCs w:val="22"/>
        </w:rPr>
        <w:t xml:space="preserve"> võimaldavas vormis. Täiendusõppuril on õppeinfosüsteemi kasutamine piiratud kuni ülikooliga lepingu sõlmimiseni. [jõustunud 14.08.2019]</w:t>
      </w:r>
    </w:p>
    <w:p w:rsidR="00CC3580" w:rsidRPr="00917221" w:rsidRDefault="00CC3580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Avatud õppesse õppima asuvate täiendusõppurite esmast nõustamist, lepingute sõlmimist ja arvete väljastamist korraldab 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. Täiendusõppurite erialane nõustamine ja õppealaste küsimuste lahendamine toimub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>i teaduskondades ja instituutides.</w:t>
      </w:r>
    </w:p>
    <w:p w:rsidR="00CC3580" w:rsidRPr="00917221" w:rsidRDefault="00CC3580" w:rsidP="00CC3580">
      <w:pPr>
        <w:pStyle w:val="Loetelum"/>
        <w:rPr>
          <w:rFonts w:cs="Calibri"/>
          <w:szCs w:val="22"/>
        </w:rPr>
      </w:pPr>
      <w:r w:rsidRPr="00917221">
        <w:rPr>
          <w:rFonts w:cs="Calibri"/>
          <w:szCs w:val="22"/>
        </w:rPr>
        <w:lastRenderedPageBreak/>
        <w:t>Täiendusõppele registreerumine ja andmete säilitamine</w:t>
      </w:r>
    </w:p>
    <w:p w:rsidR="00CC3580" w:rsidRPr="00917221" w:rsidRDefault="00CC3580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 õppekavadel õppida soovijad kinnitavad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i õppetegevust reguleerivate õigusaktidega tutvumist ja koolitusel osalemist </w:t>
      </w:r>
      <w:proofErr w:type="spellStart"/>
      <w:r w:rsidRPr="00917221">
        <w:rPr>
          <w:rFonts w:cs="Calibri"/>
          <w:szCs w:val="22"/>
        </w:rPr>
        <w:t>TÕIS-is</w:t>
      </w:r>
      <w:proofErr w:type="spellEnd"/>
      <w:r w:rsidRPr="00917221">
        <w:rPr>
          <w:rFonts w:cs="Calibri"/>
          <w:szCs w:val="22"/>
        </w:rPr>
        <w:t xml:space="preserve"> registreerumisel, mille kohta väljastatakse automaatne kinnitusteade. Täiendusõppurite andmeid kogutakse ja säilitatakse </w:t>
      </w:r>
      <w:proofErr w:type="spellStart"/>
      <w:r w:rsidRPr="00917221">
        <w:rPr>
          <w:rFonts w:cs="Calibri"/>
          <w:szCs w:val="22"/>
        </w:rPr>
        <w:t>TÕIS-is</w:t>
      </w:r>
      <w:proofErr w:type="spellEnd"/>
      <w:r w:rsidRPr="00917221">
        <w:rPr>
          <w:rFonts w:cs="Calibri"/>
          <w:szCs w:val="22"/>
        </w:rPr>
        <w:t xml:space="preserve">. </w:t>
      </w:r>
    </w:p>
    <w:p w:rsidR="00CC3580" w:rsidRPr="00917221" w:rsidRDefault="00CC3580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Avatud õppes toimub tasemeõppe õppeainetele registreerumine õppeinfosüsteemis (edaspidi ÕIS)  </w:t>
      </w:r>
      <w:r w:rsidR="00554471" w:rsidRPr="00917221">
        <w:rPr>
          <w:rFonts w:cs="Calibri"/>
          <w:szCs w:val="22"/>
        </w:rPr>
        <w:t>ülikool</w:t>
      </w:r>
      <w:r w:rsidR="008E38BA" w:rsidRPr="00917221">
        <w:rPr>
          <w:rFonts w:cs="Calibri"/>
          <w:szCs w:val="22"/>
        </w:rPr>
        <w:t>i</w:t>
      </w:r>
      <w:r w:rsidRPr="00917221">
        <w:rPr>
          <w:rFonts w:cs="Calibri"/>
          <w:szCs w:val="22"/>
        </w:rPr>
        <w:t xml:space="preserve"> </w:t>
      </w:r>
      <w:r w:rsidR="000646C6" w:rsidRPr="00917221">
        <w:rPr>
          <w:rFonts w:cs="Calibri"/>
          <w:szCs w:val="22"/>
        </w:rPr>
        <w:t>senati</w:t>
      </w:r>
      <w:r w:rsidRPr="00917221">
        <w:rPr>
          <w:rFonts w:cs="Calibri"/>
          <w:szCs w:val="22"/>
        </w:rPr>
        <w:t xml:space="preserve"> kehtestatud õppekorralduse eeskirjas sätestatud tingimustel ja korras akadeemilises kalendris märgitud tähtajani. Õppurite andmeid kogutakse ja säilitatakse ning õppeinfo vahetus toimub </w:t>
      </w:r>
      <w:proofErr w:type="spellStart"/>
      <w:r w:rsidRPr="00917221">
        <w:rPr>
          <w:rFonts w:cs="Calibri"/>
          <w:szCs w:val="22"/>
        </w:rPr>
        <w:t>ÕIS-is</w:t>
      </w:r>
      <w:proofErr w:type="spellEnd"/>
      <w:r w:rsidRPr="00917221">
        <w:rPr>
          <w:rFonts w:cs="Calibri"/>
          <w:szCs w:val="22"/>
        </w:rPr>
        <w:t xml:space="preserve">. Ametlik infovahetus (teated, õppeinfo jms) edastatakse õppuri </w:t>
      </w:r>
      <w:proofErr w:type="spellStart"/>
      <w:r w:rsidRPr="00917221">
        <w:rPr>
          <w:rFonts w:cs="Calibri"/>
          <w:szCs w:val="22"/>
        </w:rPr>
        <w:t>ÕIS-i</w:t>
      </w:r>
      <w:proofErr w:type="spellEnd"/>
      <w:r w:rsidRPr="00917221">
        <w:rPr>
          <w:rFonts w:cs="Calibri"/>
          <w:szCs w:val="22"/>
        </w:rPr>
        <w:t xml:space="preserve"> kontole ning loetakse, et saadetu on üliõpilasele kätte toimetatud ning tal on olnud mõistlik võimalus sellega tutvuda, kui saatmisest on möödunud kolm (3) tööpäeva.</w:t>
      </w:r>
      <w:r w:rsidR="000646C6" w:rsidRPr="00917221">
        <w:rPr>
          <w:rFonts w:cs="Calibri"/>
          <w:szCs w:val="22"/>
        </w:rPr>
        <w:t xml:space="preserve"> [jõustunud 01.11.2019]</w:t>
      </w:r>
    </w:p>
    <w:p w:rsidR="00CC3580" w:rsidRPr="00917221" w:rsidRDefault="00554471" w:rsidP="00CC3580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Ülikool</w:t>
      </w:r>
      <w:r w:rsidR="00CC3580" w:rsidRPr="00917221">
        <w:rPr>
          <w:rFonts w:cs="Calibri"/>
          <w:szCs w:val="22"/>
        </w:rPr>
        <w:t xml:space="preserve"> võib keelduda isiku arvamisest täiendusõppuriks, kui isik ei vasta täiendusõppe tingimustele või tasemeõppe õppeaine ainekavas kehtestatud tingimustele, õppetöös osalejate piirarv on täis või kui isikul on </w:t>
      </w:r>
      <w:r w:rsidRPr="00917221">
        <w:rPr>
          <w:rFonts w:cs="Calibri"/>
          <w:szCs w:val="22"/>
        </w:rPr>
        <w:t>ülikool</w:t>
      </w:r>
      <w:r w:rsidR="00CC3580" w:rsidRPr="00917221">
        <w:rPr>
          <w:rFonts w:cs="Calibri"/>
          <w:szCs w:val="22"/>
        </w:rPr>
        <w:t>i ees rahalisi võlgnevusi.</w:t>
      </w:r>
    </w:p>
    <w:p w:rsidR="00CC3580" w:rsidRPr="00917221" w:rsidRDefault="0005047F" w:rsidP="0005047F">
      <w:pPr>
        <w:pStyle w:val="Loetelu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Täiendusõppe õppekava</w:t>
      </w:r>
    </w:p>
    <w:p w:rsidR="0005047F" w:rsidRPr="00917221" w:rsidRDefault="0005047F" w:rsidP="0005047F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 korraldamise aluseks on </w:t>
      </w:r>
      <w:proofErr w:type="spellStart"/>
      <w:r w:rsidRPr="00917221">
        <w:rPr>
          <w:rFonts w:cs="Calibri"/>
          <w:szCs w:val="22"/>
        </w:rPr>
        <w:t>TÕIS-is</w:t>
      </w:r>
      <w:proofErr w:type="spellEnd"/>
      <w:r w:rsidRPr="00917221">
        <w:rPr>
          <w:rFonts w:cs="Calibri"/>
          <w:szCs w:val="22"/>
        </w:rPr>
        <w:t xml:space="preserve"> registreeritud täiendusõppe õppekava. </w:t>
      </w:r>
    </w:p>
    <w:p w:rsidR="0005047F" w:rsidRPr="00917221" w:rsidRDefault="0005047F" w:rsidP="0005047F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 õppekava  peab vastama täienduskoolituse standardis kehtestatud täienduskoolituse õppekava nõuetele. </w:t>
      </w:r>
    </w:p>
    <w:p w:rsidR="0005047F" w:rsidRPr="00917221" w:rsidRDefault="0005047F" w:rsidP="0005047F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 õppekava avamiseks sisestab täienduskoolituse eest vastutav isik õppekava andmed </w:t>
      </w:r>
      <w:proofErr w:type="spellStart"/>
      <w:r w:rsidRPr="00917221">
        <w:rPr>
          <w:rFonts w:cs="Calibri"/>
          <w:szCs w:val="22"/>
        </w:rPr>
        <w:t>TÕIS-i</w:t>
      </w:r>
      <w:proofErr w:type="spellEnd"/>
      <w:r w:rsidRPr="00917221">
        <w:rPr>
          <w:rFonts w:cs="Calibri"/>
          <w:szCs w:val="22"/>
        </w:rPr>
        <w:t>.</w:t>
      </w:r>
    </w:p>
    <w:p w:rsidR="0005047F" w:rsidRPr="00917221" w:rsidRDefault="0005047F" w:rsidP="0005047F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 õppekava koostatakse õpiväljundipõhiselt ja kinnitatakse </w:t>
      </w:r>
      <w:proofErr w:type="spellStart"/>
      <w:r w:rsidRPr="00917221">
        <w:rPr>
          <w:rFonts w:cs="Calibri"/>
          <w:szCs w:val="22"/>
        </w:rPr>
        <w:t>TÕIS-is</w:t>
      </w:r>
      <w:proofErr w:type="spellEnd"/>
      <w:r w:rsidRPr="00917221">
        <w:rPr>
          <w:rFonts w:cs="Calibri"/>
          <w:szCs w:val="22"/>
        </w:rPr>
        <w:t xml:space="preserve"> õpet korraldava struktuuriüksuse juhi või tema määratud isiku poolt.</w:t>
      </w:r>
    </w:p>
    <w:p w:rsidR="0005047F" w:rsidRPr="00917221" w:rsidRDefault="0005047F" w:rsidP="0005047F">
      <w:pPr>
        <w:pStyle w:val="Loetelum"/>
        <w:rPr>
          <w:rFonts w:cs="Calibri"/>
          <w:szCs w:val="22"/>
        </w:rPr>
      </w:pPr>
      <w:r w:rsidRPr="00917221">
        <w:rPr>
          <w:rFonts w:cs="Calibri"/>
          <w:szCs w:val="22"/>
        </w:rPr>
        <w:t>Hindamistulemuste vormistamine ja dokumendid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Täiendusõppe hindamistulemused vormistatakse vastavas õppeinfosüsteemis (TÕIS, ÕIS).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Hindamistulemused sisestab </w:t>
      </w:r>
      <w:proofErr w:type="spellStart"/>
      <w:r w:rsidRPr="00917221">
        <w:rPr>
          <w:rFonts w:cs="Calibri"/>
          <w:szCs w:val="22"/>
        </w:rPr>
        <w:t>TÕIS-i</w:t>
      </w:r>
      <w:proofErr w:type="spellEnd"/>
      <w:r w:rsidRPr="00917221">
        <w:rPr>
          <w:rFonts w:cs="Calibri"/>
          <w:szCs w:val="22"/>
        </w:rPr>
        <w:t xml:space="preserve"> ja </w:t>
      </w:r>
      <w:proofErr w:type="spellStart"/>
      <w:r w:rsidRPr="00917221">
        <w:rPr>
          <w:rFonts w:cs="Calibri"/>
          <w:szCs w:val="22"/>
        </w:rPr>
        <w:t>ÕIS-i</w:t>
      </w:r>
      <w:proofErr w:type="spellEnd"/>
      <w:r w:rsidRPr="00917221">
        <w:rPr>
          <w:rFonts w:cs="Calibri"/>
          <w:szCs w:val="22"/>
        </w:rPr>
        <w:t xml:space="preserve"> õppejõud või struktuuriüksuse juhi määratud töötaja. Hindamislehe allkirjastab õppejõud.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Täienduskoolituse läbimise ja täienduskoolituses osalemise kohta väljastatakse </w:t>
      </w:r>
      <w:r w:rsidR="00507B11" w:rsidRPr="00917221">
        <w:rPr>
          <w:rFonts w:cs="Calibri"/>
          <w:szCs w:val="22"/>
        </w:rPr>
        <w:t>haridus- ja teadusministri 19.06.2015 määrusega nr 27 „Täienduskoolituse standard“ kehtestatud</w:t>
      </w:r>
      <w:r w:rsidRPr="00917221">
        <w:rPr>
          <w:rFonts w:cs="Calibri"/>
          <w:szCs w:val="22"/>
        </w:rPr>
        <w:t xml:space="preserve"> </w:t>
      </w:r>
      <w:r w:rsidR="00507B11" w:rsidRPr="00917221">
        <w:rPr>
          <w:rFonts w:cs="Calibri"/>
          <w:szCs w:val="22"/>
        </w:rPr>
        <w:t xml:space="preserve">nõuetele </w:t>
      </w:r>
      <w:r w:rsidRPr="00917221">
        <w:rPr>
          <w:rFonts w:cs="Calibri"/>
          <w:szCs w:val="22"/>
        </w:rPr>
        <w:t>vastav tõend või tunnistus.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Tõend väljastatakse isikule, kes on täiendusõppele registreerunud, täiendusõppes osalenud või täiendusõppe läbinud, kuid koolituse käigus ei hinnatud õpiväljundite saavutatust või õppekava lõpetamiseks nõutud õpiväljundeid ei saavutatud.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Tunnistus väljastatakse isikule, kes on läbinud täiendusõppe õppekava ettenähtud mahus ning koolituse käigus hinnati õpiväljundite saavutatust ja isik saavutas kõik õppekava lõpetamiseks nõutud õpiväljundid.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Tõendi ja tunnistusega koos võib vajadusel väljastada lisa, mis on tõendi või tunnistuse lahutamatu osa.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Tunnistus, duplikaat, tõend ja nende lisad vormistatakse eesti keeles. Täiendusõppuri taotlusel või täiendusõpet korraldava struktuuriüksuse juhi otsusel võib tunnistuse, tõendi ja lisad vormistada ka inglise keeles. 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Täiendusõppe tunnistu</w:t>
      </w:r>
      <w:r w:rsidR="00056CAB" w:rsidRPr="00917221">
        <w:rPr>
          <w:rFonts w:cs="Calibri"/>
          <w:szCs w:val="22"/>
        </w:rPr>
        <w:t>s, tõend ja lisad väljastatakse</w:t>
      </w:r>
      <w:r w:rsidRPr="00917221">
        <w:rPr>
          <w:rFonts w:cs="Calibri"/>
          <w:szCs w:val="22"/>
        </w:rPr>
        <w:t xml:space="preserve"> elektroonselt, kui täiendusõppe õppekavas pole määratud teisiti. Täiendusõppuri taotlusel või täienduskoolitust korraldava üksuse otsusel võib täiendusõppe tunnist</w:t>
      </w:r>
      <w:r w:rsidR="00056CAB" w:rsidRPr="00917221">
        <w:rPr>
          <w:rFonts w:cs="Calibri"/>
          <w:szCs w:val="22"/>
        </w:rPr>
        <w:t>use, tõendi ja lisad väljastada</w:t>
      </w:r>
      <w:r w:rsidRPr="00917221">
        <w:rPr>
          <w:rFonts w:cs="Calibri"/>
          <w:szCs w:val="22"/>
        </w:rPr>
        <w:t xml:space="preserve"> paberkandjal.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Digitaalsed dokumendid tõendatakse täienduskoolitust korraldava üksuse juhi digitaalallkirjaga või </w:t>
      </w:r>
      <w:r w:rsidR="00554471" w:rsidRPr="00917221">
        <w:rPr>
          <w:rFonts w:cs="Calibri"/>
          <w:szCs w:val="22"/>
        </w:rPr>
        <w:t>ülikool</w:t>
      </w:r>
      <w:r w:rsidR="008E38BA" w:rsidRPr="00917221">
        <w:rPr>
          <w:rFonts w:cs="Calibri"/>
          <w:szCs w:val="22"/>
        </w:rPr>
        <w:t>i</w:t>
      </w:r>
      <w:r w:rsidRPr="00917221">
        <w:rPr>
          <w:rFonts w:cs="Calibri"/>
          <w:szCs w:val="22"/>
        </w:rPr>
        <w:t xml:space="preserve"> digitaaltempliga.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Paberkandjal täiendusõppe tunnistuse, tõendi ja lisad allkirjastab täienduskoolitust korraldava üksuse juht või 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i juhataja. </w:t>
      </w:r>
    </w:p>
    <w:p w:rsidR="002F6873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Tunnistuse duplikaadi ja selle lisa väljaandmiseks esitab huvitatud isik 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ile avalduse. Duplikaat väljastatakse tunnistuse plangil märkega “Duplikaat”. Duplikaadi allkirjastab 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>i juhataja.</w:t>
      </w:r>
    </w:p>
    <w:p w:rsidR="0005047F" w:rsidRPr="00917221" w:rsidRDefault="002F6873" w:rsidP="002F6873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Tunnistused ja tõendid registreeritakse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i õppeinfosüsteemis tunnistuste või tõendite registris. Registrit haldab ja tunnistuste, tõendite ning lisade väljastamist koordineerib 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>.</w:t>
      </w:r>
    </w:p>
    <w:p w:rsidR="0049608E" w:rsidRPr="00917221" w:rsidRDefault="0049608E" w:rsidP="0049608E">
      <w:pPr>
        <w:pStyle w:val="Loetelum"/>
        <w:rPr>
          <w:rFonts w:cs="Calibri"/>
          <w:szCs w:val="22"/>
        </w:rPr>
      </w:pPr>
      <w:r w:rsidRPr="00917221">
        <w:rPr>
          <w:rFonts w:cs="Calibri"/>
          <w:szCs w:val="22"/>
        </w:rPr>
        <w:lastRenderedPageBreak/>
        <w:t>Täiendusõppe finantskorraldus</w:t>
      </w:r>
    </w:p>
    <w:p w:rsidR="0049608E" w:rsidRPr="00917221" w:rsidRDefault="0049608E" w:rsidP="0049608E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Täiendusõpe on </w:t>
      </w:r>
      <w:r w:rsidR="00554471" w:rsidRPr="00917221">
        <w:rPr>
          <w:rFonts w:cs="Calibri"/>
          <w:szCs w:val="22"/>
        </w:rPr>
        <w:t>ülikool</w:t>
      </w:r>
      <w:r w:rsidR="008E38BA" w:rsidRPr="00917221">
        <w:rPr>
          <w:rFonts w:cs="Calibri"/>
          <w:szCs w:val="22"/>
        </w:rPr>
        <w:t>i</w:t>
      </w:r>
      <w:r w:rsidRPr="00917221">
        <w:rPr>
          <w:rFonts w:cs="Calibri"/>
          <w:szCs w:val="22"/>
        </w:rPr>
        <w:t xml:space="preserve"> poolt osutatav tasuline teenus. Täiendusõppeteenuse hind kujuneb vastavalt </w:t>
      </w:r>
      <w:r w:rsidR="00554471" w:rsidRPr="00917221">
        <w:rPr>
          <w:rFonts w:cs="Calibri"/>
          <w:szCs w:val="22"/>
        </w:rPr>
        <w:t>ülikool</w:t>
      </w:r>
      <w:r w:rsidR="008E38BA" w:rsidRPr="00917221">
        <w:rPr>
          <w:rFonts w:cs="Calibri"/>
          <w:szCs w:val="22"/>
        </w:rPr>
        <w:t>is</w:t>
      </w:r>
      <w:r w:rsidRPr="00917221">
        <w:rPr>
          <w:rFonts w:cs="Calibri"/>
          <w:szCs w:val="22"/>
        </w:rPr>
        <w:t xml:space="preserve"> kehtestatud tasumääradele ja hinnakalkulatsioonile.</w:t>
      </w:r>
    </w:p>
    <w:p w:rsidR="0049608E" w:rsidRPr="00917221" w:rsidRDefault="0049608E" w:rsidP="0049608E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Täiendusõppe eest tasumise ja õppest loobumise tingimused:</w:t>
      </w:r>
    </w:p>
    <w:p w:rsidR="009A5812" w:rsidRPr="00917221" w:rsidRDefault="0041455D" w:rsidP="009A5812">
      <w:pPr>
        <w:pStyle w:val="Bodym1"/>
        <w:rPr>
          <w:rFonts w:cs="Calibri"/>
          <w:szCs w:val="22"/>
        </w:rPr>
      </w:pPr>
      <w:r w:rsidRPr="00917221">
        <w:rPr>
          <w:rFonts w:cs="Calibri"/>
          <w:szCs w:val="22"/>
        </w:rPr>
        <w:t>R</w:t>
      </w:r>
      <w:r w:rsidR="00A43AF0" w:rsidRPr="00917221">
        <w:rPr>
          <w:rFonts w:cs="Calibri"/>
          <w:szCs w:val="22"/>
        </w:rPr>
        <w:t>egistreerunul</w:t>
      </w:r>
      <w:r w:rsidR="009A5812" w:rsidRPr="00917221">
        <w:rPr>
          <w:rFonts w:cs="Calibri"/>
          <w:szCs w:val="22"/>
        </w:rPr>
        <w:t xml:space="preserve"> </w:t>
      </w:r>
      <w:r w:rsidR="00A43AF0" w:rsidRPr="00917221">
        <w:rPr>
          <w:rFonts w:cs="Calibri"/>
          <w:szCs w:val="22"/>
        </w:rPr>
        <w:t xml:space="preserve">tekib </w:t>
      </w:r>
      <w:r w:rsidR="009A5812" w:rsidRPr="00917221">
        <w:rPr>
          <w:rFonts w:cs="Calibri"/>
          <w:szCs w:val="22"/>
        </w:rPr>
        <w:t xml:space="preserve">õppeteenustasu </w:t>
      </w:r>
      <w:r w:rsidRPr="00917221">
        <w:rPr>
          <w:rFonts w:cs="Calibri"/>
          <w:szCs w:val="22"/>
        </w:rPr>
        <w:t xml:space="preserve">tasumise kohustus. Õppeteenustasu kuulub maksmisele mitte hiljem kui </w:t>
      </w:r>
      <w:r w:rsidR="00A43AF0" w:rsidRPr="00917221">
        <w:rPr>
          <w:rFonts w:cs="Calibri"/>
          <w:szCs w:val="22"/>
        </w:rPr>
        <w:t>neli (</w:t>
      </w:r>
      <w:r w:rsidRPr="00917221">
        <w:rPr>
          <w:rFonts w:cs="Calibri"/>
          <w:szCs w:val="22"/>
        </w:rPr>
        <w:t>4</w:t>
      </w:r>
      <w:r w:rsidR="00A43AF0" w:rsidRPr="00917221">
        <w:rPr>
          <w:rFonts w:cs="Calibri"/>
          <w:szCs w:val="22"/>
        </w:rPr>
        <w:t>)</w:t>
      </w:r>
      <w:r w:rsidRPr="00917221">
        <w:rPr>
          <w:rFonts w:cs="Calibri"/>
          <w:szCs w:val="22"/>
        </w:rPr>
        <w:t xml:space="preserve"> tööpäeva enne täiendusõppe algust.</w:t>
      </w:r>
    </w:p>
    <w:p w:rsidR="009A5812" w:rsidRPr="00917221" w:rsidRDefault="0041455D" w:rsidP="009A5812">
      <w:pPr>
        <w:pStyle w:val="Bodym1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Kui registreerunu loobub </w:t>
      </w:r>
      <w:r w:rsidR="009A5812" w:rsidRPr="00917221">
        <w:rPr>
          <w:rFonts w:cs="Calibri"/>
          <w:szCs w:val="22"/>
        </w:rPr>
        <w:t>täiendusõppest varem kui neli (4) tööpäeva enne täiendusõppe algust, õppeteenus</w:t>
      </w:r>
      <w:r w:rsidRPr="00917221">
        <w:rPr>
          <w:rFonts w:cs="Calibri"/>
          <w:szCs w:val="22"/>
        </w:rPr>
        <w:t xml:space="preserve">tasu tasumise kohustust ei teki. Sel juhul, ning kui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i ja registreerunu vahel </w:t>
      </w:r>
      <w:r w:rsidR="009A5812" w:rsidRPr="00917221">
        <w:rPr>
          <w:rFonts w:cs="Calibri"/>
          <w:szCs w:val="22"/>
        </w:rPr>
        <w:t>ei ole kokku lepitud teisiti</w:t>
      </w:r>
      <w:r w:rsidRPr="00917221">
        <w:rPr>
          <w:rFonts w:cs="Calibri"/>
          <w:szCs w:val="22"/>
        </w:rPr>
        <w:t xml:space="preserve">, tagastab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 registreerunule ettemaksu täies ulatuses</w:t>
      </w:r>
      <w:r w:rsidR="009A5812" w:rsidRPr="00917221">
        <w:rPr>
          <w:rFonts w:cs="Calibri"/>
          <w:szCs w:val="22"/>
        </w:rPr>
        <w:t>;</w:t>
      </w:r>
    </w:p>
    <w:p w:rsidR="009A5812" w:rsidRPr="00917221" w:rsidRDefault="0041455D" w:rsidP="00682A7E">
      <w:pPr>
        <w:pStyle w:val="Bodym1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Kui registreerunu loobub täiendusõppest </w:t>
      </w:r>
      <w:r w:rsidR="009A5812" w:rsidRPr="00917221">
        <w:rPr>
          <w:rFonts w:cs="Calibri"/>
          <w:szCs w:val="22"/>
        </w:rPr>
        <w:t>üks (1) kuni kolm (3) tööpäeva enne täiendusõppe algust</w:t>
      </w:r>
      <w:r w:rsidRPr="00917221">
        <w:rPr>
          <w:rFonts w:cs="Calibri"/>
          <w:szCs w:val="22"/>
        </w:rPr>
        <w:t xml:space="preserve"> ning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i ja registreerunu vahel ei ole kokku lepitud teisiti, tagastab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 tema poolt tähtajaks tasutud õppeteenustasust viiskümmend protsenti (</w:t>
      </w:r>
      <w:r w:rsidR="00056CAB" w:rsidRPr="00917221">
        <w:rPr>
          <w:rFonts w:cs="Calibri"/>
          <w:szCs w:val="22"/>
        </w:rPr>
        <w:t>50%)</w:t>
      </w:r>
      <w:r w:rsidRPr="00917221">
        <w:rPr>
          <w:rFonts w:cs="Calibri"/>
          <w:szCs w:val="22"/>
        </w:rPr>
        <w:t xml:space="preserve"> ning viiskümmend protsenti</w:t>
      </w:r>
      <w:r w:rsidR="00A43AF0" w:rsidRPr="00917221">
        <w:rPr>
          <w:rFonts w:cs="Calibri"/>
          <w:szCs w:val="22"/>
        </w:rPr>
        <w:t xml:space="preserve"> (50%) õppeteenustasust </w:t>
      </w:r>
      <w:r w:rsidRPr="00917221">
        <w:rPr>
          <w:rFonts w:cs="Calibri"/>
          <w:szCs w:val="22"/>
        </w:rPr>
        <w:t>ei kuulu tagastamisele.</w:t>
      </w:r>
    </w:p>
    <w:p w:rsidR="00ED36D4" w:rsidRPr="00917221" w:rsidRDefault="00554471" w:rsidP="00ED36D4">
      <w:pPr>
        <w:pStyle w:val="Bodym1"/>
        <w:rPr>
          <w:rFonts w:cs="Calibri"/>
          <w:szCs w:val="22"/>
        </w:rPr>
      </w:pPr>
      <w:r w:rsidRPr="00917221">
        <w:rPr>
          <w:rFonts w:cs="Calibri"/>
          <w:szCs w:val="22"/>
        </w:rPr>
        <w:t>Ülikool</w:t>
      </w:r>
      <w:r w:rsidR="00ED36D4" w:rsidRPr="00917221">
        <w:rPr>
          <w:rFonts w:cs="Calibri"/>
          <w:szCs w:val="22"/>
        </w:rPr>
        <w:t xml:space="preserve"> ei tagasta õppeteenustasu, kui registreerunu </w:t>
      </w:r>
      <w:r w:rsidR="00A43AF0" w:rsidRPr="00917221">
        <w:rPr>
          <w:rFonts w:cs="Calibri"/>
          <w:szCs w:val="22"/>
        </w:rPr>
        <w:t xml:space="preserve">ei ilmu koolituse alguseks täiendusõppele ega ole </w:t>
      </w:r>
      <w:r w:rsidRPr="00917221">
        <w:rPr>
          <w:rFonts w:cs="Calibri"/>
          <w:szCs w:val="22"/>
        </w:rPr>
        <w:t>ülikool</w:t>
      </w:r>
      <w:r w:rsidR="00ED36D4" w:rsidRPr="00917221">
        <w:rPr>
          <w:rFonts w:cs="Calibri"/>
          <w:szCs w:val="22"/>
        </w:rPr>
        <w:t xml:space="preserve">i </w:t>
      </w:r>
      <w:r w:rsidR="00A43AF0" w:rsidRPr="00917221">
        <w:rPr>
          <w:rFonts w:cs="Calibri"/>
          <w:szCs w:val="22"/>
        </w:rPr>
        <w:t xml:space="preserve">koolitusest </w:t>
      </w:r>
      <w:r w:rsidR="00ED36D4" w:rsidRPr="00917221">
        <w:rPr>
          <w:rFonts w:cs="Calibri"/>
          <w:szCs w:val="22"/>
        </w:rPr>
        <w:t xml:space="preserve">loobumisest </w:t>
      </w:r>
      <w:r w:rsidR="00A43AF0" w:rsidRPr="00917221">
        <w:rPr>
          <w:rFonts w:cs="Calibri"/>
          <w:szCs w:val="22"/>
        </w:rPr>
        <w:t xml:space="preserve">eelnevalt </w:t>
      </w:r>
      <w:r w:rsidR="00ED36D4" w:rsidRPr="00917221">
        <w:rPr>
          <w:rFonts w:cs="Calibri"/>
          <w:szCs w:val="22"/>
        </w:rPr>
        <w:t>teavitanud</w:t>
      </w:r>
      <w:r w:rsidR="00A43AF0" w:rsidRPr="00917221">
        <w:rPr>
          <w:rFonts w:cs="Calibri"/>
          <w:szCs w:val="22"/>
        </w:rPr>
        <w:t>.</w:t>
      </w:r>
    </w:p>
    <w:p w:rsidR="009A5812" w:rsidRPr="00917221" w:rsidRDefault="00ED36D4" w:rsidP="00ED36D4">
      <w:pPr>
        <w:pStyle w:val="Bodym1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Täiendusõppe mittetoimumisel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i süül, tagastab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 registreerunule õppeteenustasu täies ulatuses.</w:t>
      </w:r>
    </w:p>
    <w:p w:rsidR="009A5812" w:rsidRPr="00917221" w:rsidRDefault="009A5812" w:rsidP="009A5812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Täiendusõppe õppeteenuse käibemaksuga maksustamise tingimused:</w:t>
      </w:r>
    </w:p>
    <w:p w:rsidR="009A5812" w:rsidRPr="00917221" w:rsidRDefault="009A5812" w:rsidP="009A5812">
      <w:pPr>
        <w:pStyle w:val="Bodym1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avatud õppe ja kooliõpilastele suunatud kursuste korraldamisel välistab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 ärilise eesmärgi taotlemise ning õppeteenus</w:t>
      </w:r>
      <w:r w:rsidR="00056CAB" w:rsidRPr="00917221">
        <w:rPr>
          <w:rFonts w:cs="Calibri"/>
          <w:szCs w:val="22"/>
        </w:rPr>
        <w:t>tasu ei maksustata käibemaksuga</w:t>
      </w:r>
      <w:r w:rsidRPr="00917221">
        <w:rPr>
          <w:rFonts w:cs="Calibri"/>
          <w:szCs w:val="22"/>
        </w:rPr>
        <w:t xml:space="preserve">; </w:t>
      </w:r>
    </w:p>
    <w:p w:rsidR="009A5812" w:rsidRPr="00917221" w:rsidRDefault="009A5812" w:rsidP="009A5812">
      <w:pPr>
        <w:pStyle w:val="Bodym1"/>
        <w:rPr>
          <w:rFonts w:cs="Calibri"/>
          <w:szCs w:val="22"/>
        </w:rPr>
      </w:pPr>
      <w:r w:rsidRPr="00917221">
        <w:rPr>
          <w:rFonts w:cs="Calibri"/>
          <w:szCs w:val="22"/>
        </w:rPr>
        <w:t>muu täiendusõppe teenus maksustatakse käibemaksuga juhul, kui teenuse pakkumisel konkureeritakse koolitusturul täiendusõppe pakkujaga, kes on käibemaksukohustuslane käibemaksuseaduse tähenduses.</w:t>
      </w:r>
    </w:p>
    <w:p w:rsidR="009A5812" w:rsidRPr="00917221" w:rsidRDefault="00602917" w:rsidP="00602917">
      <w:pPr>
        <w:pStyle w:val="Loetelum"/>
        <w:rPr>
          <w:rFonts w:cs="Calibri"/>
          <w:szCs w:val="22"/>
        </w:rPr>
      </w:pPr>
      <w:r w:rsidRPr="00917221">
        <w:rPr>
          <w:rFonts w:cs="Calibri"/>
          <w:szCs w:val="22"/>
        </w:rPr>
        <w:t>VÕTA täiendusõppes</w:t>
      </w:r>
    </w:p>
    <w:p w:rsidR="00602917" w:rsidRPr="00917221" w:rsidRDefault="00602917" w:rsidP="00602917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Täiendusõppur võib taotleda </w:t>
      </w:r>
      <w:proofErr w:type="spellStart"/>
      <w:r w:rsidR="00507B11" w:rsidRPr="00917221">
        <w:rPr>
          <w:rFonts w:cs="Calibri"/>
          <w:szCs w:val="22"/>
        </w:rPr>
        <w:t>VÕTA-t</w:t>
      </w:r>
      <w:proofErr w:type="spellEnd"/>
      <w:r w:rsidR="00507B11" w:rsidRPr="00917221">
        <w:rPr>
          <w:rFonts w:cs="Calibri"/>
          <w:szCs w:val="22"/>
        </w:rPr>
        <w:t xml:space="preserve"> täiendusõppes vastavalt </w:t>
      </w:r>
      <w:r w:rsidR="00554471" w:rsidRPr="00917221">
        <w:rPr>
          <w:rFonts w:cs="Calibri"/>
          <w:szCs w:val="22"/>
        </w:rPr>
        <w:t>ülikool</w:t>
      </w:r>
      <w:r w:rsidR="00507B11" w:rsidRPr="00917221">
        <w:rPr>
          <w:rFonts w:cs="Calibri"/>
          <w:szCs w:val="22"/>
        </w:rPr>
        <w:t xml:space="preserve">i </w:t>
      </w:r>
      <w:r w:rsidR="000646C6" w:rsidRPr="00917221">
        <w:rPr>
          <w:rFonts w:cs="Calibri"/>
          <w:szCs w:val="22"/>
        </w:rPr>
        <w:t>senati</w:t>
      </w:r>
      <w:r w:rsidR="00507B11" w:rsidRPr="00917221">
        <w:rPr>
          <w:rFonts w:cs="Calibri"/>
          <w:szCs w:val="22"/>
        </w:rPr>
        <w:t xml:space="preserve"> kehtestatud varasemate õpingute ja töökogemus</w:t>
      </w:r>
      <w:r w:rsidR="00DE5147" w:rsidRPr="00917221">
        <w:rPr>
          <w:rFonts w:cs="Calibri"/>
          <w:szCs w:val="22"/>
        </w:rPr>
        <w:t>t</w:t>
      </w:r>
      <w:r w:rsidR="00507B11" w:rsidRPr="00917221">
        <w:rPr>
          <w:rFonts w:cs="Calibri"/>
          <w:szCs w:val="22"/>
        </w:rPr>
        <w:t xml:space="preserve">e </w:t>
      </w:r>
      <w:r w:rsidR="00DE5147" w:rsidRPr="00917221">
        <w:rPr>
          <w:rFonts w:cs="Calibri"/>
          <w:szCs w:val="22"/>
        </w:rPr>
        <w:t>arvestamise tingimustele ja korrale.</w:t>
      </w:r>
      <w:r w:rsidR="000646C6" w:rsidRPr="00917221">
        <w:rPr>
          <w:rFonts w:cs="Calibri"/>
          <w:szCs w:val="22"/>
        </w:rPr>
        <w:t xml:space="preserve"> [jõustunud </w:t>
      </w:r>
      <w:r w:rsidR="000646C6" w:rsidRPr="00917221">
        <w:t>01.11.2019]</w:t>
      </w:r>
    </w:p>
    <w:p w:rsidR="00602917" w:rsidRPr="00917221" w:rsidRDefault="00602917" w:rsidP="00602917">
      <w:pPr>
        <w:pStyle w:val="Loetelum"/>
        <w:rPr>
          <w:rFonts w:cs="Calibri"/>
          <w:szCs w:val="22"/>
        </w:rPr>
      </w:pPr>
      <w:r w:rsidRPr="00917221">
        <w:rPr>
          <w:rFonts w:cs="Calibri"/>
          <w:szCs w:val="22"/>
        </w:rPr>
        <w:t>Aruandlus</w:t>
      </w:r>
    </w:p>
    <w:p w:rsidR="00602917" w:rsidRPr="00917221" w:rsidRDefault="00554471" w:rsidP="00602917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Ülikool</w:t>
      </w:r>
      <w:r w:rsidR="008E38BA" w:rsidRPr="00917221">
        <w:rPr>
          <w:rFonts w:cs="Calibri"/>
          <w:szCs w:val="22"/>
        </w:rPr>
        <w:t>i</w:t>
      </w:r>
      <w:r w:rsidR="00602917" w:rsidRPr="00917221">
        <w:rPr>
          <w:rFonts w:cs="Calibri"/>
          <w:szCs w:val="22"/>
        </w:rPr>
        <w:t xml:space="preserve"> täiendusõppealane aruandlus on </w:t>
      </w:r>
      <w:proofErr w:type="spellStart"/>
      <w:r w:rsidR="00602917" w:rsidRPr="00917221">
        <w:rPr>
          <w:rFonts w:cs="Calibri"/>
          <w:szCs w:val="22"/>
        </w:rPr>
        <w:t>ÕIS-i</w:t>
      </w:r>
      <w:proofErr w:type="spellEnd"/>
      <w:r w:rsidR="00602917" w:rsidRPr="00917221">
        <w:rPr>
          <w:rFonts w:cs="Calibri"/>
          <w:szCs w:val="22"/>
        </w:rPr>
        <w:t xml:space="preserve">, </w:t>
      </w:r>
      <w:proofErr w:type="spellStart"/>
      <w:r w:rsidR="00602917" w:rsidRPr="00917221">
        <w:rPr>
          <w:rFonts w:cs="Calibri"/>
          <w:szCs w:val="22"/>
        </w:rPr>
        <w:t>TÕIS-i</w:t>
      </w:r>
      <w:proofErr w:type="spellEnd"/>
      <w:r w:rsidR="00602917" w:rsidRPr="00917221">
        <w:rPr>
          <w:rFonts w:cs="Calibri"/>
          <w:szCs w:val="22"/>
        </w:rPr>
        <w:t xml:space="preserve"> ja tunnistuste registri põhine, sisaldades andmeid täiendusõppe valdkonna tegevus- ja tulemusnäitajate, sh rahalise mahu kohta.</w:t>
      </w:r>
    </w:p>
    <w:p w:rsidR="00602917" w:rsidRPr="00917221" w:rsidRDefault="00602917" w:rsidP="00602917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Avatud </w:t>
      </w:r>
      <w:r w:rsidR="00554471" w:rsidRPr="00917221">
        <w:rPr>
          <w:rFonts w:cs="Calibri"/>
          <w:szCs w:val="22"/>
        </w:rPr>
        <w:t>ülikool</w:t>
      </w:r>
      <w:r w:rsidRPr="00917221">
        <w:rPr>
          <w:rFonts w:cs="Calibri"/>
          <w:szCs w:val="22"/>
        </w:rPr>
        <w:t xml:space="preserve"> koostab täiendusõppe aruande kalendriaasta põhiselt, esitades sel</w:t>
      </w:r>
      <w:bookmarkStart w:id="0" w:name="_GoBack"/>
      <w:bookmarkEnd w:id="0"/>
      <w:r w:rsidRPr="00917221">
        <w:rPr>
          <w:rFonts w:cs="Calibri"/>
          <w:szCs w:val="22"/>
        </w:rPr>
        <w:t>le õppeprorektorile.</w:t>
      </w:r>
    </w:p>
    <w:p w:rsidR="002D00F6" w:rsidRPr="00917221" w:rsidRDefault="009C377A" w:rsidP="00602917">
      <w:pPr>
        <w:pStyle w:val="Loetelum"/>
        <w:rPr>
          <w:rFonts w:cs="Calibri"/>
          <w:szCs w:val="22"/>
        </w:rPr>
      </w:pPr>
      <w:r w:rsidRPr="00917221">
        <w:rPr>
          <w:rFonts w:cs="Calibri"/>
          <w:szCs w:val="22"/>
        </w:rPr>
        <w:t>Määruse k</w:t>
      </w:r>
      <w:r w:rsidR="00602917" w:rsidRPr="00917221">
        <w:rPr>
          <w:rFonts w:cs="Calibri"/>
          <w:szCs w:val="22"/>
        </w:rPr>
        <w:t>ehtetuks tunnistamine</w:t>
      </w:r>
    </w:p>
    <w:p w:rsidR="00654BEF" w:rsidRPr="00917221" w:rsidRDefault="00554471" w:rsidP="00654BEF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>Ülikool</w:t>
      </w:r>
      <w:r w:rsidR="000E4150" w:rsidRPr="00917221">
        <w:rPr>
          <w:rFonts w:cs="Calibri"/>
          <w:szCs w:val="22"/>
        </w:rPr>
        <w:t>i</w:t>
      </w:r>
      <w:r w:rsidR="00602917" w:rsidRPr="00917221">
        <w:rPr>
          <w:rFonts w:cs="Calibri"/>
          <w:szCs w:val="22"/>
        </w:rPr>
        <w:t xml:space="preserve"> nõukogu 08.10.2013 määrus nr 11 „Täiendusõppe kord” tunnistatakse kehtetuks</w:t>
      </w:r>
      <w:r w:rsidR="001C2038" w:rsidRPr="00917221">
        <w:rPr>
          <w:rFonts w:cs="Calibri"/>
          <w:szCs w:val="22"/>
        </w:rPr>
        <w:t>.</w:t>
      </w:r>
    </w:p>
    <w:p w:rsidR="002D00F6" w:rsidRPr="00917221" w:rsidRDefault="002D00F6" w:rsidP="002D00F6">
      <w:pPr>
        <w:pStyle w:val="Loetelum"/>
        <w:rPr>
          <w:rFonts w:cs="Calibri"/>
          <w:szCs w:val="22"/>
        </w:rPr>
      </w:pPr>
      <w:r w:rsidRPr="00917221">
        <w:rPr>
          <w:rFonts w:cs="Calibri"/>
          <w:szCs w:val="22"/>
        </w:rPr>
        <w:t>Määruse jõustumine</w:t>
      </w:r>
    </w:p>
    <w:p w:rsidR="008A24C5" w:rsidRPr="00917221" w:rsidRDefault="002D00F6" w:rsidP="002D00F6">
      <w:pPr>
        <w:pStyle w:val="Bodym"/>
        <w:rPr>
          <w:rFonts w:cs="Calibri"/>
          <w:szCs w:val="22"/>
        </w:rPr>
      </w:pPr>
      <w:r w:rsidRPr="00917221">
        <w:rPr>
          <w:rFonts w:cs="Calibri"/>
          <w:szCs w:val="22"/>
        </w:rPr>
        <w:t xml:space="preserve">Määrus jõustub </w:t>
      </w:r>
      <w:r w:rsidR="00BC3652" w:rsidRPr="00917221">
        <w:rPr>
          <w:rFonts w:cs="Calibri"/>
          <w:szCs w:val="22"/>
        </w:rPr>
        <w:t>allakirj</w:t>
      </w:r>
      <w:r w:rsidR="00056CAB" w:rsidRPr="00917221">
        <w:rPr>
          <w:rFonts w:cs="Calibri"/>
          <w:szCs w:val="22"/>
        </w:rPr>
        <w:t>u</w:t>
      </w:r>
      <w:r w:rsidR="00BC3652" w:rsidRPr="00917221">
        <w:rPr>
          <w:rFonts w:cs="Calibri"/>
          <w:szCs w:val="22"/>
        </w:rPr>
        <w:t>tamisel.</w:t>
      </w:r>
    </w:p>
    <w:p w:rsidR="00983F8D" w:rsidRPr="00917221" w:rsidRDefault="00983F8D" w:rsidP="00114982">
      <w:pPr>
        <w:tabs>
          <w:tab w:val="left" w:pos="7200"/>
        </w:tabs>
        <w:rPr>
          <w:rFonts w:cs="Calibri"/>
          <w:szCs w:val="22"/>
        </w:rPr>
      </w:pPr>
    </w:p>
    <w:p w:rsidR="007B4FE1" w:rsidRPr="00917221" w:rsidRDefault="007B4FE1" w:rsidP="00114982">
      <w:pPr>
        <w:tabs>
          <w:tab w:val="left" w:pos="7200"/>
        </w:tabs>
        <w:rPr>
          <w:rFonts w:cs="Calibri"/>
          <w:szCs w:val="22"/>
        </w:rPr>
      </w:pPr>
    </w:p>
    <w:p w:rsidR="00294679" w:rsidRPr="00917221" w:rsidRDefault="00294679" w:rsidP="00114982">
      <w:pPr>
        <w:tabs>
          <w:tab w:val="left" w:pos="7200"/>
        </w:tabs>
        <w:rPr>
          <w:rFonts w:cs="Calibri"/>
          <w:szCs w:val="22"/>
        </w:rPr>
        <w:sectPr w:rsidR="00294679" w:rsidRPr="00917221" w:rsidSect="008A24C5">
          <w:type w:val="continuous"/>
          <w:pgSz w:w="11906" w:h="16838" w:code="9"/>
          <w:pgMar w:top="680" w:right="851" w:bottom="680" w:left="1701" w:header="397" w:footer="510" w:gutter="0"/>
          <w:cols w:space="708"/>
          <w:titlePg/>
          <w:docGrid w:linePitch="299"/>
        </w:sectPr>
      </w:pPr>
    </w:p>
    <w:p w:rsidR="00294679" w:rsidRPr="00917221" w:rsidRDefault="00294679" w:rsidP="00294679">
      <w:pPr>
        <w:tabs>
          <w:tab w:val="left" w:pos="7200"/>
        </w:tabs>
        <w:rPr>
          <w:rFonts w:cs="Calibri"/>
          <w:szCs w:val="22"/>
        </w:rPr>
      </w:pPr>
    </w:p>
    <w:sectPr w:rsidR="00294679" w:rsidRPr="00917221" w:rsidSect="00294679">
      <w:headerReference w:type="even" r:id="rId11"/>
      <w:headerReference w:type="default" r:id="rId12"/>
      <w:footerReference w:type="even" r:id="rId13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CE" w:rsidRDefault="00421BCE">
      <w:r>
        <w:separator/>
      </w:r>
    </w:p>
  </w:endnote>
  <w:endnote w:type="continuationSeparator" w:id="0">
    <w:p w:rsidR="00421BCE" w:rsidRDefault="0042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7" w:rsidRDefault="006E6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F7" w:rsidRDefault="006E6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D1" w:rsidRDefault="00B01A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AD1" w:rsidRDefault="00A0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CE" w:rsidRDefault="00421BCE">
      <w:r>
        <w:separator/>
      </w:r>
    </w:p>
  </w:footnote>
  <w:footnote w:type="continuationSeparator" w:id="0">
    <w:p w:rsidR="00421BCE" w:rsidRDefault="0042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F7" w:rsidRDefault="006E6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F7" w:rsidRDefault="006E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65388"/>
      <w:docPartObj>
        <w:docPartGallery w:val="Page Numbers (Top of Page)"/>
        <w:docPartUnique/>
      </w:docPartObj>
    </w:sdtPr>
    <w:sdtEndPr/>
    <w:sdtContent>
      <w:p w:rsidR="008A24C5" w:rsidRDefault="008A24C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2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D1" w:rsidRDefault="00B01A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AD1" w:rsidRDefault="00A018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501422"/>
      <w:docPartObj>
        <w:docPartGallery w:val="Page Numbers (Top of Page)"/>
        <w:docPartUnique/>
      </w:docPartObj>
    </w:sdtPr>
    <w:sdtEndPr/>
    <w:sdtContent>
      <w:p w:rsidR="00300A58" w:rsidRDefault="00300A5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E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62CCA5A8"/>
    <w:lvl w:ilvl="0">
      <w:start w:val="1"/>
      <w:numFmt w:val="decimal"/>
      <w:pStyle w:val="Lisatekst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25FEE3C2"/>
    <w:lvl w:ilvl="0">
      <w:start w:val="1"/>
      <w:numFmt w:val="decimal"/>
      <w:pStyle w:val="Heading1"/>
      <w:suff w:val="nothing"/>
      <w:lvlText w:val="%1. peatük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710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CE"/>
    <w:rsid w:val="00022956"/>
    <w:rsid w:val="000443D4"/>
    <w:rsid w:val="00045E22"/>
    <w:rsid w:val="0005047F"/>
    <w:rsid w:val="000567EB"/>
    <w:rsid w:val="00056A9C"/>
    <w:rsid w:val="00056CAB"/>
    <w:rsid w:val="000646C6"/>
    <w:rsid w:val="00077345"/>
    <w:rsid w:val="000D7B48"/>
    <w:rsid w:val="000E0598"/>
    <w:rsid w:val="000E4150"/>
    <w:rsid w:val="00114982"/>
    <w:rsid w:val="00136C3A"/>
    <w:rsid w:val="0014627D"/>
    <w:rsid w:val="00152C5A"/>
    <w:rsid w:val="001873E4"/>
    <w:rsid w:val="001C2038"/>
    <w:rsid w:val="001E30C3"/>
    <w:rsid w:val="00210F74"/>
    <w:rsid w:val="002846B5"/>
    <w:rsid w:val="002909F0"/>
    <w:rsid w:val="00294679"/>
    <w:rsid w:val="002960BE"/>
    <w:rsid w:val="002C60A6"/>
    <w:rsid w:val="002D00F6"/>
    <w:rsid w:val="002F6873"/>
    <w:rsid w:val="00300A58"/>
    <w:rsid w:val="00306FB2"/>
    <w:rsid w:val="0031245F"/>
    <w:rsid w:val="003159EB"/>
    <w:rsid w:val="00322AC0"/>
    <w:rsid w:val="003359E5"/>
    <w:rsid w:val="00344B49"/>
    <w:rsid w:val="0037162D"/>
    <w:rsid w:val="00391473"/>
    <w:rsid w:val="003E0055"/>
    <w:rsid w:val="004012EB"/>
    <w:rsid w:val="0040333E"/>
    <w:rsid w:val="0040530C"/>
    <w:rsid w:val="0040547F"/>
    <w:rsid w:val="004107CA"/>
    <w:rsid w:val="0041455D"/>
    <w:rsid w:val="00421BCE"/>
    <w:rsid w:val="0042252F"/>
    <w:rsid w:val="00453FC0"/>
    <w:rsid w:val="004555CC"/>
    <w:rsid w:val="00466707"/>
    <w:rsid w:val="00485C13"/>
    <w:rsid w:val="0049608E"/>
    <w:rsid w:val="004B0E0D"/>
    <w:rsid w:val="004B6534"/>
    <w:rsid w:val="004E660B"/>
    <w:rsid w:val="00507B11"/>
    <w:rsid w:val="00533340"/>
    <w:rsid w:val="00554471"/>
    <w:rsid w:val="005657C3"/>
    <w:rsid w:val="005764EB"/>
    <w:rsid w:val="00577F41"/>
    <w:rsid w:val="00587ED2"/>
    <w:rsid w:val="005E41A4"/>
    <w:rsid w:val="00602917"/>
    <w:rsid w:val="00603E5F"/>
    <w:rsid w:val="00615C9D"/>
    <w:rsid w:val="00654BEF"/>
    <w:rsid w:val="00655B65"/>
    <w:rsid w:val="00685B50"/>
    <w:rsid w:val="00685D9B"/>
    <w:rsid w:val="006B529B"/>
    <w:rsid w:val="006C452A"/>
    <w:rsid w:val="006E1CF0"/>
    <w:rsid w:val="006E3F85"/>
    <w:rsid w:val="006E63F7"/>
    <w:rsid w:val="006F4067"/>
    <w:rsid w:val="00714988"/>
    <w:rsid w:val="007174FE"/>
    <w:rsid w:val="00720D4C"/>
    <w:rsid w:val="0074053D"/>
    <w:rsid w:val="007751E5"/>
    <w:rsid w:val="007820B3"/>
    <w:rsid w:val="00796BD0"/>
    <w:rsid w:val="007B4FE1"/>
    <w:rsid w:val="008018DF"/>
    <w:rsid w:val="00822854"/>
    <w:rsid w:val="00824B27"/>
    <w:rsid w:val="008314E6"/>
    <w:rsid w:val="00832D31"/>
    <w:rsid w:val="008652D0"/>
    <w:rsid w:val="00870F2D"/>
    <w:rsid w:val="008A0126"/>
    <w:rsid w:val="008A24C5"/>
    <w:rsid w:val="008E38BA"/>
    <w:rsid w:val="008E3A1F"/>
    <w:rsid w:val="008F4EDB"/>
    <w:rsid w:val="00900F04"/>
    <w:rsid w:val="00917221"/>
    <w:rsid w:val="0093135C"/>
    <w:rsid w:val="00972565"/>
    <w:rsid w:val="009745AE"/>
    <w:rsid w:val="00983F8D"/>
    <w:rsid w:val="009A5812"/>
    <w:rsid w:val="009C377A"/>
    <w:rsid w:val="009D7C86"/>
    <w:rsid w:val="009E44AB"/>
    <w:rsid w:val="009F16EC"/>
    <w:rsid w:val="00A01829"/>
    <w:rsid w:val="00A16004"/>
    <w:rsid w:val="00A204FA"/>
    <w:rsid w:val="00A21113"/>
    <w:rsid w:val="00A43AF0"/>
    <w:rsid w:val="00A77BDA"/>
    <w:rsid w:val="00A9439F"/>
    <w:rsid w:val="00AA13D1"/>
    <w:rsid w:val="00AA6EBA"/>
    <w:rsid w:val="00AD4F2A"/>
    <w:rsid w:val="00AD5505"/>
    <w:rsid w:val="00AD6477"/>
    <w:rsid w:val="00B01A0A"/>
    <w:rsid w:val="00B04923"/>
    <w:rsid w:val="00B23D2E"/>
    <w:rsid w:val="00B666E3"/>
    <w:rsid w:val="00B67AAA"/>
    <w:rsid w:val="00B937B6"/>
    <w:rsid w:val="00BC3652"/>
    <w:rsid w:val="00BC75A6"/>
    <w:rsid w:val="00BF6405"/>
    <w:rsid w:val="00C11D43"/>
    <w:rsid w:val="00C36459"/>
    <w:rsid w:val="00C51C87"/>
    <w:rsid w:val="00C570F2"/>
    <w:rsid w:val="00C9663B"/>
    <w:rsid w:val="00CC0123"/>
    <w:rsid w:val="00CC248A"/>
    <w:rsid w:val="00CC3580"/>
    <w:rsid w:val="00CE50BE"/>
    <w:rsid w:val="00CE5D1C"/>
    <w:rsid w:val="00CF6EFF"/>
    <w:rsid w:val="00D10066"/>
    <w:rsid w:val="00D1557A"/>
    <w:rsid w:val="00D20826"/>
    <w:rsid w:val="00D45157"/>
    <w:rsid w:val="00D71785"/>
    <w:rsid w:val="00D73B85"/>
    <w:rsid w:val="00D803FE"/>
    <w:rsid w:val="00D82C55"/>
    <w:rsid w:val="00D86176"/>
    <w:rsid w:val="00DA41AF"/>
    <w:rsid w:val="00DB5D45"/>
    <w:rsid w:val="00DD488F"/>
    <w:rsid w:val="00DE5147"/>
    <w:rsid w:val="00DF47A0"/>
    <w:rsid w:val="00E01DEC"/>
    <w:rsid w:val="00E35C69"/>
    <w:rsid w:val="00E76DC2"/>
    <w:rsid w:val="00E77564"/>
    <w:rsid w:val="00E825F5"/>
    <w:rsid w:val="00EB357F"/>
    <w:rsid w:val="00EC096A"/>
    <w:rsid w:val="00ED36D4"/>
    <w:rsid w:val="00F50E19"/>
    <w:rsid w:val="00F75D96"/>
    <w:rsid w:val="00F854C8"/>
    <w:rsid w:val="00F875F9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26E1C5B"/>
  <w15:docId w15:val="{498DB724-63A3-4CA7-9408-6A05B92D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0A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Loetelum"/>
    <w:qFormat/>
    <w:rsid w:val="0014627D"/>
    <w:pPr>
      <w:keepNext/>
      <w:numPr>
        <w:numId w:val="2"/>
      </w:numPr>
      <w:spacing w:before="360" w:after="20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Bodym1">
    <w:name w:val="Bodym1"/>
    <w:basedOn w:val="Bodym"/>
    <w:rsid w:val="00DD488F"/>
    <w:pPr>
      <w:numPr>
        <w:ilvl w:val="2"/>
      </w:numPr>
      <w:spacing w:before="0"/>
    </w:p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</w:style>
  <w:style w:type="paragraph" w:customStyle="1" w:styleId="Loetelum">
    <w:name w:val="Loetelum"/>
    <w:basedOn w:val="Loetelu"/>
    <w:rsid w:val="00DD488F"/>
    <w:pPr>
      <w:keepNext/>
      <w:numPr>
        <w:numId w:val="13"/>
      </w:numPr>
    </w:pPr>
    <w:rPr>
      <w:b/>
    </w:rPr>
  </w:style>
  <w:style w:type="paragraph" w:customStyle="1" w:styleId="Bodym">
    <w:name w:val="Bodym"/>
    <w:basedOn w:val="Bodyt"/>
    <w:rsid w:val="00DD488F"/>
    <w:pPr>
      <w:numPr>
        <w:ilvl w:val="1"/>
        <w:numId w:val="13"/>
      </w:numPr>
      <w:spacing w:before="80"/>
    </w:pPr>
  </w:style>
  <w:style w:type="paragraph" w:customStyle="1" w:styleId="Body">
    <w:name w:val="Body"/>
    <w:basedOn w:val="Normal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l">
    <w:name w:val="Bodyl"/>
    <w:basedOn w:val="Body"/>
    <w:rsid w:val="000D7B48"/>
    <w:pPr>
      <w:jc w:val="right"/>
    </w:pPr>
  </w:style>
  <w:style w:type="paragraph" w:customStyle="1" w:styleId="Lisatekstm">
    <w:name w:val="Lisatekstm"/>
    <w:basedOn w:val="Normal"/>
    <w:rsid w:val="000D7B48"/>
    <w:pPr>
      <w:numPr>
        <w:numId w:val="8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Lisatekstm"/>
    <w:rsid w:val="00B01A0A"/>
    <w:pPr>
      <w:numPr>
        <w:ilvl w:val="1"/>
      </w:numPr>
      <w:spacing w:before="0"/>
    </w:pPr>
  </w:style>
  <w:style w:type="paragraph" w:customStyle="1" w:styleId="Bodymlisa">
    <w:name w:val="Bodymlisa"/>
    <w:basedOn w:val="Lisatekstm"/>
    <w:rsid w:val="000D7B48"/>
    <w:pPr>
      <w:numPr>
        <w:ilvl w:val="2"/>
      </w:numPr>
      <w:spacing w:before="0"/>
    </w:pPr>
  </w:style>
  <w:style w:type="paragraph" w:customStyle="1" w:styleId="Dokumendinimetus">
    <w:name w:val="Dokumendi nimetus"/>
    <w:basedOn w:val="Normal"/>
    <w:next w:val="BodyText"/>
    <w:qFormat/>
    <w:rsid w:val="00DD488F"/>
    <w:pPr>
      <w:spacing w:before="920"/>
      <w:ind w:right="4706"/>
    </w:pPr>
    <w:rPr>
      <w:caps/>
      <w:sz w:val="28"/>
    </w:rPr>
  </w:style>
  <w:style w:type="paragraph" w:customStyle="1" w:styleId="Tallinn">
    <w:name w:val="Tallinn"/>
    <w:basedOn w:val="BodyText"/>
    <w:next w:val="BodyText"/>
    <w:qFormat/>
    <w:rsid w:val="00DD488F"/>
    <w:pPr>
      <w:tabs>
        <w:tab w:val="left" w:pos="6237"/>
      </w:tabs>
      <w:spacing w:before="80" w:after="120"/>
    </w:pPr>
  </w:style>
  <w:style w:type="paragraph" w:customStyle="1" w:styleId="Pealkiri">
    <w:name w:val="Pealkiri"/>
    <w:basedOn w:val="Normal"/>
    <w:next w:val="Normal"/>
    <w:qFormat/>
    <w:rsid w:val="0014627D"/>
    <w:pPr>
      <w:spacing w:before="840" w:after="480"/>
      <w:ind w:right="5103"/>
    </w:pPr>
    <w:rPr>
      <w:b/>
    </w:rPr>
  </w:style>
  <w:style w:type="paragraph" w:customStyle="1" w:styleId="Tekst">
    <w:name w:val="Tekst"/>
    <w:basedOn w:val="BodyText"/>
    <w:rsid w:val="00DD488F"/>
    <w:pPr>
      <w:spacing w:after="120"/>
    </w:pPr>
  </w:style>
  <w:style w:type="paragraph" w:customStyle="1" w:styleId="Nimiall">
    <w:name w:val="Nimi all"/>
    <w:basedOn w:val="Normal"/>
    <w:qFormat/>
    <w:rsid w:val="00AD6477"/>
    <w:pPr>
      <w:tabs>
        <w:tab w:val="left" w:pos="5103"/>
      </w:tabs>
      <w:spacing w:before="960"/>
    </w:pPr>
  </w:style>
  <w:style w:type="paragraph" w:customStyle="1" w:styleId="Allkirjastajanimi">
    <w:name w:val="Allkirjastaja nimi"/>
    <w:basedOn w:val="BodyText"/>
    <w:next w:val="BodyText"/>
    <w:qFormat/>
    <w:rsid w:val="00C36459"/>
  </w:style>
  <w:style w:type="paragraph" w:customStyle="1" w:styleId="Allkirjastatuddigit">
    <w:name w:val="Allkirjastatud digit"/>
    <w:basedOn w:val="BodyText"/>
    <w:qFormat/>
    <w:rsid w:val="00D20826"/>
    <w:pPr>
      <w:spacing w:before="480" w:after="120"/>
    </w:pPr>
  </w:style>
  <w:style w:type="table" w:styleId="TableGrid">
    <w:name w:val="Table Grid"/>
    <w:basedOn w:val="TableNormal"/>
    <w:rsid w:val="0033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apealkiri">
    <w:name w:val="Lisapealkiri"/>
    <w:basedOn w:val="Normal"/>
    <w:qFormat/>
    <w:rsid w:val="00B01A0A"/>
    <w:pPr>
      <w:tabs>
        <w:tab w:val="left" w:pos="6521"/>
      </w:tabs>
      <w:spacing w:before="240" w:after="240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01A0A"/>
    <w:rPr>
      <w:rFonts w:ascii="Calibri" w:hAnsi="Calibri"/>
      <w:sz w:val="22"/>
      <w:lang w:eastAsia="en-US"/>
    </w:rPr>
  </w:style>
  <w:style w:type="character" w:styleId="Hyperlink">
    <w:name w:val="Hyperlink"/>
    <w:basedOn w:val="DefaultParagraphFont"/>
    <w:unhideWhenUsed/>
    <w:rsid w:val="002F68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F68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6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7E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764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64E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4EB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4E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E17A-5653-4209-B44E-961F77DB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1079</Words>
  <Characters>8333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määrus</dc:subject>
  <dc:creator>Anne Toom</dc:creator>
  <cp:keywords/>
  <cp:lastModifiedBy>Kairi Schütz</cp:lastModifiedBy>
  <cp:revision>12</cp:revision>
  <cp:lastPrinted>2018-08-21T11:00:00Z</cp:lastPrinted>
  <dcterms:created xsi:type="dcterms:W3CDTF">2018-10-19T06:51:00Z</dcterms:created>
  <dcterms:modified xsi:type="dcterms:W3CDTF">2019-11-04T10:04:00Z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rationNo">
    <vt:lpwstr>[number]</vt:lpwstr>
  </property>
  <property fmtid="{D5CDD505-2E9C-101B-9397-08002B2CF9AE}" pid="3" name="DLX:Registered">
    <vt:lpwstr>[kuupäev]</vt:lpwstr>
  </property>
</Properties>
</file>