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3A" w:rsidRDefault="007F553A" w:rsidP="007F553A">
      <w:pPr>
        <w:pStyle w:val="Tekst"/>
        <w:jc w:val="right"/>
      </w:pPr>
      <w:r>
        <w:t>ALGTEKST-TERVIKTEKST</w:t>
      </w:r>
    </w:p>
    <w:p w:rsidR="000C2B24" w:rsidRDefault="007F553A" w:rsidP="007F553A">
      <w:pPr>
        <w:pStyle w:val="Tekst"/>
      </w:pPr>
      <w:r>
        <w:t>Kinnitatud rektor</w:t>
      </w:r>
      <w:r w:rsidR="000C2B24">
        <w:t>i 12.09.2018 korraldusega nr 55</w:t>
      </w:r>
    </w:p>
    <w:p w:rsidR="007F553A" w:rsidRDefault="000C2B24" w:rsidP="007F553A">
      <w:pPr>
        <w:pStyle w:val="Tekst"/>
      </w:pPr>
      <w:bookmarkStart w:id="0" w:name="_GoBack"/>
      <w:r w:rsidRPr="000C2B24">
        <w:t xml:space="preserve">Redaktsiooni jõustumise kuupäev: </w:t>
      </w:r>
      <w:r>
        <w:t>01.09.2018</w:t>
      </w:r>
    </w:p>
    <w:bookmarkEnd w:id="0"/>
    <w:p w:rsidR="007F553A" w:rsidRPr="007F553A" w:rsidRDefault="007F553A" w:rsidP="00E7551A">
      <w:pPr>
        <w:pStyle w:val="Tekst"/>
        <w:rPr>
          <w:b/>
        </w:rPr>
      </w:pPr>
      <w:r w:rsidRPr="007F553A">
        <w:rPr>
          <w:b/>
        </w:rPr>
        <w:t>Personalikoolituse korralduse eeskiri</w:t>
      </w:r>
    </w:p>
    <w:p w:rsidR="00E7551A" w:rsidRDefault="00DB512A" w:rsidP="00E7551A">
      <w:pPr>
        <w:pStyle w:val="Tekst"/>
      </w:pPr>
      <w:r>
        <w:t xml:space="preserve">Käskkiri antakse tuginedes </w:t>
      </w:r>
      <w:r w:rsidR="00ED1D27" w:rsidRPr="00992500">
        <w:rPr>
          <w:rFonts w:asciiTheme="minorHAnsi" w:hAnsiTheme="minorHAnsi"/>
        </w:rPr>
        <w:t>põhikirja § 11 punktile 9</w:t>
      </w:r>
      <w:r>
        <w:t>.</w:t>
      </w:r>
    </w:p>
    <w:p w:rsidR="00DB512A" w:rsidRDefault="00ED1D27" w:rsidP="00DB512A">
      <w:pPr>
        <w:pStyle w:val="Loetelu"/>
      </w:pPr>
      <w:proofErr w:type="spellStart"/>
      <w:r>
        <w:t>Üldsätted</w:t>
      </w:r>
      <w:proofErr w:type="spellEnd"/>
    </w:p>
    <w:p w:rsidR="00ED1D27" w:rsidRPr="00E83A34" w:rsidRDefault="00ED1D27" w:rsidP="009F55A7">
      <w:pPr>
        <w:pStyle w:val="Bodyt"/>
      </w:pPr>
      <w:r w:rsidRPr="00E83A34">
        <w:t xml:space="preserve">Personalikoolituse korralduse eeskirjaga (edaspidi </w:t>
      </w:r>
      <w:r w:rsidRPr="0094534D">
        <w:rPr>
          <w:i/>
        </w:rPr>
        <w:t>eeskiri</w:t>
      </w:r>
      <w:r w:rsidRPr="00E83A34">
        <w:t xml:space="preserve">) reguleeritakse </w:t>
      </w:r>
      <w:r>
        <w:t xml:space="preserve">Tallinna Tehnikaülikooli (edaspidi </w:t>
      </w:r>
      <w:r w:rsidRPr="0094534D">
        <w:rPr>
          <w:i/>
        </w:rPr>
        <w:t>ülikool</w:t>
      </w:r>
      <w:r>
        <w:t xml:space="preserve">) </w:t>
      </w:r>
      <w:r w:rsidRPr="00E83A34">
        <w:t xml:space="preserve">töötajate </w:t>
      </w:r>
      <w:r>
        <w:t>täiendus</w:t>
      </w:r>
      <w:r w:rsidRPr="00E83A34">
        <w:t>koolitus</w:t>
      </w:r>
      <w:r>
        <w:t xml:space="preserve">e </w:t>
      </w:r>
      <w:r w:rsidRPr="00E83A34">
        <w:t>vajaduse</w:t>
      </w:r>
      <w:r>
        <w:t xml:space="preserve"> (edaspidi </w:t>
      </w:r>
      <w:r w:rsidRPr="0094534D">
        <w:rPr>
          <w:i/>
        </w:rPr>
        <w:t>koolitusvajadus</w:t>
      </w:r>
      <w:r>
        <w:t>)</w:t>
      </w:r>
      <w:r w:rsidRPr="00E83A34">
        <w:t xml:space="preserve"> kindlaksmääramist ja korraldamist </w:t>
      </w:r>
      <w:r>
        <w:t>ning tasemekoolituse toetamise põhimõtteid ülikoolis.</w:t>
      </w:r>
    </w:p>
    <w:p w:rsidR="00ED1D27" w:rsidRPr="00E83A34" w:rsidRDefault="00ED1D27" w:rsidP="009F55A7">
      <w:pPr>
        <w:pStyle w:val="Bodyt"/>
      </w:pPr>
      <w:r w:rsidRPr="00E83A34">
        <w:t>Eeskir</w:t>
      </w:r>
      <w:r>
        <w:t>jaga ei reguleerita</w:t>
      </w:r>
      <w:r w:rsidRPr="00E83A34">
        <w:t xml:space="preserve"> akadeemilis</w:t>
      </w:r>
      <w:r>
        <w:t>t</w:t>
      </w:r>
      <w:r w:rsidRPr="00E83A34">
        <w:t xml:space="preserve">e </w:t>
      </w:r>
      <w:r>
        <w:t xml:space="preserve">töötajate </w:t>
      </w:r>
      <w:r w:rsidRPr="00E83A34">
        <w:t>eriala</w:t>
      </w:r>
      <w:r>
        <w:t>list</w:t>
      </w:r>
      <w:r w:rsidRPr="00E83A34">
        <w:t xml:space="preserve"> teadus- ja arendustegevust ega </w:t>
      </w:r>
      <w:r>
        <w:t xml:space="preserve">sellealast </w:t>
      </w:r>
      <w:r w:rsidRPr="00E83A34">
        <w:t>koolitust</w:t>
      </w:r>
      <w:r>
        <w:t xml:space="preserve"> </w:t>
      </w:r>
      <w:r w:rsidRPr="00E83A34">
        <w:t xml:space="preserve">(osalemine teaduskonverentsidel, stažeerimine jms). </w:t>
      </w:r>
    </w:p>
    <w:p w:rsidR="00ED1D27" w:rsidRPr="00E83A34" w:rsidRDefault="00ED1D27" w:rsidP="009F55A7">
      <w:pPr>
        <w:pStyle w:val="Bodyt"/>
      </w:pPr>
      <w:r w:rsidRPr="00C0017E">
        <w:t>Personalikoolituse</w:t>
      </w:r>
      <w:r w:rsidRPr="00E83A34">
        <w:t xml:space="preserve"> korraldamisel juhindutakse täiskasvanute koolituse seadusest, </w:t>
      </w:r>
      <w:r>
        <w:t xml:space="preserve"> haridus- ja teadusministri 19.06.2015 määrusega nr 27 kehtestatud „Täienduskoolituse </w:t>
      </w:r>
      <w:r w:rsidRPr="00E83A34">
        <w:t>standardist</w:t>
      </w:r>
      <w:r>
        <w:t xml:space="preserve">“ (edaspidi </w:t>
      </w:r>
      <w:r w:rsidRPr="0094534D">
        <w:rPr>
          <w:i/>
        </w:rPr>
        <w:t>täienduskoolituse standard</w:t>
      </w:r>
      <w:r>
        <w:t xml:space="preserve">), Eesti </w:t>
      </w:r>
      <w:r w:rsidRPr="00E83A34">
        <w:t>elukestva õppe strateegiast 2020 jt õigusaktidest.</w:t>
      </w:r>
    </w:p>
    <w:p w:rsidR="00ED1D27" w:rsidRPr="00E83A34" w:rsidRDefault="00ED1D27" w:rsidP="009F55A7">
      <w:pPr>
        <w:pStyle w:val="Loetelu"/>
      </w:pPr>
      <w:r w:rsidRPr="00E83A34">
        <w:t>Koolitusvajadus</w:t>
      </w:r>
    </w:p>
    <w:p w:rsidR="00ED1D27" w:rsidRPr="00E83A34" w:rsidRDefault="00ED1D27" w:rsidP="009F55A7">
      <w:pPr>
        <w:pStyle w:val="Bodyt"/>
      </w:pPr>
      <w:r>
        <w:t xml:space="preserve"> Koolitusvajaduse </w:t>
      </w:r>
      <w:r w:rsidRPr="00E83A34">
        <w:t>väljaselgitamiseks kasutatakse töötajate arengu- ja karjäärivestluste tulemuste kokkuvõtteid, koolitustel osalenute tagasiside</w:t>
      </w:r>
      <w:r>
        <w:t xml:space="preserve"> tulemusi</w:t>
      </w:r>
      <w:r w:rsidRPr="00E83A34">
        <w:t>, struktuuriüksuste juhtide ettepanekuid, töörahulolu-uuringute jt ülikooli personaliga seotud uuringute tulemusi.</w:t>
      </w:r>
    </w:p>
    <w:p w:rsidR="00ED1D27" w:rsidRPr="00E83A34" w:rsidRDefault="00ED1D27" w:rsidP="00ED1D27">
      <w:pPr>
        <w:pStyle w:val="Bodyt"/>
      </w:pPr>
      <w:r>
        <w:t xml:space="preserve">Koolitusvajaduse </w:t>
      </w:r>
      <w:r w:rsidRPr="00E83A34">
        <w:t xml:space="preserve">analüüsi eest ülikooli tasandil vastutab personaliosakond, kes seab koolitustegevusega seotud pika- ja lühiajalised eesmärgid, </w:t>
      </w:r>
      <w:r>
        <w:t xml:space="preserve">määrab </w:t>
      </w:r>
      <w:r w:rsidRPr="00E83A34">
        <w:t>tegevusprioriteedid ning ülesanded.</w:t>
      </w:r>
    </w:p>
    <w:p w:rsidR="00ED1D27" w:rsidRPr="00E83A34" w:rsidRDefault="00ED1D27" w:rsidP="00ED1D27">
      <w:pPr>
        <w:pStyle w:val="Bodyt"/>
      </w:pPr>
      <w:r w:rsidRPr="00E83A34">
        <w:t>Koolitusvajaduse analüüsi struktuuriüksuse tasandil teostab struktuuriüksuse juht</w:t>
      </w:r>
      <w:r>
        <w:t>, kes</w:t>
      </w:r>
      <w:r w:rsidRPr="00E83A34">
        <w:t xml:space="preserve"> edastab</w:t>
      </w:r>
      <w:r>
        <w:t xml:space="preserve"> personalikoolituse </w:t>
      </w:r>
      <w:r w:rsidRPr="00E83A34">
        <w:t>soovid personaliosakonnale.</w:t>
      </w:r>
    </w:p>
    <w:p w:rsidR="00ED1D27" w:rsidRPr="00E83A34" w:rsidRDefault="00ED1D27" w:rsidP="00ED1D27">
      <w:pPr>
        <w:pStyle w:val="Loetelu"/>
      </w:pPr>
      <w:r w:rsidRPr="00E83A34">
        <w:t>Koolitusplaan</w:t>
      </w:r>
    </w:p>
    <w:p w:rsidR="00ED1D27" w:rsidRPr="00E83A34" w:rsidRDefault="00ED1D27" w:rsidP="00ED1D27">
      <w:pPr>
        <w:pStyle w:val="Bodyt"/>
      </w:pPr>
      <w:r w:rsidRPr="00E83A34">
        <w:t>Lähtudes koolitusvajaduse analüüsist, koostab personaliosakond ülikooli koolitusplaani.</w:t>
      </w:r>
    </w:p>
    <w:p w:rsidR="00ED1D27" w:rsidRPr="00E83A34" w:rsidRDefault="00ED1D27" w:rsidP="00ED1D27">
      <w:pPr>
        <w:pStyle w:val="Bodyt"/>
      </w:pPr>
      <w:r w:rsidRPr="00E83A34">
        <w:t xml:space="preserve">Koolitusplaan koostatakse aastaks. Täiendatud koolitusplaan avalikustatakse poolaasta kaupa </w:t>
      </w:r>
      <w:proofErr w:type="spellStart"/>
      <w:r>
        <w:t>siseportaalis</w:t>
      </w:r>
      <w:proofErr w:type="spellEnd"/>
      <w:r w:rsidRPr="00E83A34">
        <w:t xml:space="preserve">. </w:t>
      </w:r>
    </w:p>
    <w:p w:rsidR="00ED1D27" w:rsidRPr="00E83A34" w:rsidRDefault="00ED1D27" w:rsidP="00ED1D27">
      <w:pPr>
        <w:pStyle w:val="Bodyt"/>
      </w:pPr>
      <w:r w:rsidRPr="00E83A34">
        <w:t>Koolitusplaanis kavandatud täienduskoolituste õppekavad koostatakse vastavalt täienduskoolituse standardi §-s 2 sätestatud täienduskoolituse õppekava nõuetele.</w:t>
      </w:r>
    </w:p>
    <w:p w:rsidR="00ED1D27" w:rsidRPr="00E83A34" w:rsidRDefault="00ED1D27" w:rsidP="00ED1D27">
      <w:pPr>
        <w:pStyle w:val="Loetelu"/>
      </w:pPr>
      <w:r w:rsidRPr="00E83A34">
        <w:t>Koolitusel osalemine</w:t>
      </w:r>
    </w:p>
    <w:p w:rsidR="00ED1D27" w:rsidRPr="00E83A34" w:rsidRDefault="00ED1D27" w:rsidP="00ED1D27">
      <w:pPr>
        <w:pStyle w:val="Bodyt"/>
      </w:pPr>
      <w:r w:rsidRPr="00E83A34">
        <w:t>Koolitustele ja seminaridele registreerumine toimub üldjuhul elektroon</w:t>
      </w:r>
      <w:r>
        <w:t>ili</w:t>
      </w:r>
      <w:r w:rsidRPr="00E83A34">
        <w:t xml:space="preserve">selt </w:t>
      </w:r>
      <w:r>
        <w:t xml:space="preserve">ülikooli </w:t>
      </w:r>
      <w:proofErr w:type="spellStart"/>
      <w:r w:rsidRPr="00E83A34">
        <w:t>siseportaali</w:t>
      </w:r>
      <w:proofErr w:type="spellEnd"/>
      <w:r w:rsidRPr="00E83A34">
        <w:t xml:space="preserve"> koolituskalendris. </w:t>
      </w:r>
    </w:p>
    <w:p w:rsidR="00ED1D27" w:rsidRPr="00E83A34" w:rsidRDefault="00ED1D27" w:rsidP="00ED1D27">
      <w:pPr>
        <w:pStyle w:val="Bodyt"/>
      </w:pPr>
      <w:r w:rsidRPr="00E83A34">
        <w:t xml:space="preserve">Koolitusele registreerimiseks täidab töötaja </w:t>
      </w:r>
      <w:proofErr w:type="spellStart"/>
      <w:r w:rsidRPr="00E83A34">
        <w:t>siseportaali</w:t>
      </w:r>
      <w:proofErr w:type="spellEnd"/>
      <w:r w:rsidRPr="00E83A34">
        <w:t xml:space="preserve"> koolituskalendris elektroon</w:t>
      </w:r>
      <w:r>
        <w:t>ili</w:t>
      </w:r>
      <w:r w:rsidRPr="00E83A34">
        <w:t xml:space="preserve">se koolitustaotluse, millest teavitatakse koheselt </w:t>
      </w:r>
      <w:proofErr w:type="spellStart"/>
      <w:r w:rsidRPr="00E83A34">
        <w:t>e-kirjaga</w:t>
      </w:r>
      <w:proofErr w:type="spellEnd"/>
      <w:r w:rsidRPr="00E83A34">
        <w:t xml:space="preserve"> registreerunud töötaja struktuuriüksuse juhti.</w:t>
      </w:r>
    </w:p>
    <w:p w:rsidR="00ED1D27" w:rsidRPr="00E83A34" w:rsidRDefault="00ED1D27" w:rsidP="00ED1D27">
      <w:pPr>
        <w:pStyle w:val="Bodyt"/>
      </w:pPr>
      <w:r w:rsidRPr="00E83A34">
        <w:t xml:space="preserve">Koolitusel osalejate nimekirja kantakse koolituse sihtrühma kuuluvad töötajad registreerimise järjekorras. Vajadusel on koolituse korraldajal õigus osalejate nimekirja muuta. </w:t>
      </w:r>
    </w:p>
    <w:p w:rsidR="00ED1D27" w:rsidRPr="00931E97" w:rsidRDefault="00ED1D27" w:rsidP="00ED1D27">
      <w:pPr>
        <w:pStyle w:val="Bodyt"/>
      </w:pPr>
      <w:r w:rsidRPr="00931E97">
        <w:t>Koolitusplaanis avalikustatud täienduskoolitused on ülikooli töötajatele üldjuhul tasuta.</w:t>
      </w:r>
      <w:r>
        <w:t xml:space="preserve"> </w:t>
      </w:r>
      <w:r w:rsidRPr="00931E97">
        <w:t xml:space="preserve">Ülikooli poolt pakutavatel täienduskoolitustel on doktorantidel võimalus osaleda tasuta juhul, kui koolitusel on vabu kohti. </w:t>
      </w:r>
    </w:p>
    <w:p w:rsidR="00ED1D27" w:rsidRPr="00931E97" w:rsidRDefault="00ED1D27" w:rsidP="003F64D5">
      <w:pPr>
        <w:pStyle w:val="Bodyt"/>
      </w:pPr>
      <w:r w:rsidRPr="00285A45">
        <w:t>Keelekoolituse</w:t>
      </w:r>
      <w:r w:rsidRPr="00931E97">
        <w:t>d toimuvad inglise keeles tasemetel A2, B1, B2 ja C1</w:t>
      </w:r>
      <w:r w:rsidRPr="00E83A34">
        <w:rPr>
          <w:rStyle w:val="FootnoteReference"/>
          <w:rFonts w:asciiTheme="minorHAnsi" w:hAnsiTheme="minorHAnsi"/>
          <w:color w:val="000000" w:themeColor="text1"/>
        </w:rPr>
        <w:footnoteReference w:id="1"/>
      </w:r>
      <w:r w:rsidRPr="00285A45">
        <w:t xml:space="preserve">, </w:t>
      </w:r>
      <w:r w:rsidRPr="00931E97">
        <w:t>vene keeles A1 ja A2 tasemetel, eesti keel inglise keele põhjal A1 ja A2 tasemel, kõikidel tasemetel mahus 50 akadeemilist tundi (1 õppeaasta jooksul töötaja kohta). Keelekoolitused lõpevad kirjaliku testiga.</w:t>
      </w:r>
    </w:p>
    <w:p w:rsidR="00ED1D27" w:rsidRPr="00E83A34" w:rsidRDefault="00ED1D27" w:rsidP="00ED1D27">
      <w:pPr>
        <w:pStyle w:val="Bodyt"/>
      </w:pPr>
      <w:r>
        <w:t>Keelekoolitustel osalemise piirangud on järgmised:</w:t>
      </w:r>
      <w:r w:rsidRPr="00E83A34">
        <w:t xml:space="preserve"> </w:t>
      </w:r>
    </w:p>
    <w:p w:rsidR="00ED1D27" w:rsidRPr="00E83A34" w:rsidRDefault="00ED1D27" w:rsidP="00ED1D27">
      <w:pPr>
        <w:pStyle w:val="Bodyt1"/>
      </w:pPr>
      <w:r>
        <w:t>ü</w:t>
      </w:r>
      <w:r w:rsidRPr="00E83A34">
        <w:t xml:space="preserve">he keele ühte keeletaset on võimalik õppida tasuta (ülikooli finantseeringul) </w:t>
      </w:r>
      <w:r>
        <w:t xml:space="preserve"> ühe </w:t>
      </w:r>
      <w:r w:rsidRPr="00E83A34">
        <w:t>õppeaasta jooksul. Koolituse poolelijätmisel tuleb</w:t>
      </w:r>
      <w:r>
        <w:t xml:space="preserve"> töötajal</w:t>
      </w:r>
      <w:r w:rsidRPr="00E83A34">
        <w:t xml:space="preserve"> tasuda</w:t>
      </w:r>
      <w:r>
        <w:t xml:space="preserve"> ülikoolile</w:t>
      </w:r>
      <w:r w:rsidRPr="00E83A34">
        <w:t xml:space="preserve"> koolituse maksumus täies</w:t>
      </w:r>
      <w:r>
        <w:t xml:space="preserve"> ulatuses;</w:t>
      </w:r>
    </w:p>
    <w:p w:rsidR="00ED1D27" w:rsidRPr="00E83A34" w:rsidRDefault="00ED1D27" w:rsidP="00ED1D27">
      <w:pPr>
        <w:pStyle w:val="Bodyt1"/>
      </w:pPr>
      <w:r>
        <w:t>k</w:t>
      </w:r>
      <w:r w:rsidRPr="00E83A34">
        <w:t>ui töötaja soovib keeletaset korrata järgmistel õppeaastatel, siis tasub ta koolituse maksumuse täies</w:t>
      </w:r>
      <w:r>
        <w:t xml:space="preserve"> ulatuses</w:t>
      </w:r>
      <w:r w:rsidRPr="00E83A34">
        <w:t>.</w:t>
      </w:r>
    </w:p>
    <w:p w:rsidR="00ED1D27" w:rsidRPr="00E83A34" w:rsidRDefault="007A2F84" w:rsidP="003F64D5">
      <w:pPr>
        <w:pStyle w:val="Bodyt"/>
      </w:pPr>
      <w:r>
        <w:lastRenderedPageBreak/>
        <w:t>E</w:t>
      </w:r>
      <w:r w:rsidR="00ED1D27" w:rsidRPr="00E83A34">
        <w:t xml:space="preserve">nesetäiendamine väljaspool ülikooli toimuvatel täienduskoolitustel ja nende ülikooli poolne finantseerimine lepitakse töötaja ja </w:t>
      </w:r>
      <w:r w:rsidR="00ED1D27">
        <w:t xml:space="preserve"> tema vahetu juhi </w:t>
      </w:r>
      <w:r w:rsidR="00ED1D27" w:rsidRPr="00E83A34">
        <w:t xml:space="preserve">poolt eelnevalt kokku, arvestades sealjuures, et </w:t>
      </w:r>
      <w:r w:rsidR="00ED1D27">
        <w:t xml:space="preserve">koolitus </w:t>
      </w:r>
      <w:r w:rsidR="00ED1D27" w:rsidRPr="00E83A34">
        <w:t xml:space="preserve">on seotud töötaja tööülesannetega. </w:t>
      </w:r>
    </w:p>
    <w:p w:rsidR="00ED1D27" w:rsidRPr="00E83A34" w:rsidRDefault="00ED1D27" w:rsidP="00ED1D27">
      <w:pPr>
        <w:pStyle w:val="Loetelu"/>
      </w:pPr>
      <w:r w:rsidRPr="00E83A34">
        <w:t>Koolituse korraldamine</w:t>
      </w:r>
    </w:p>
    <w:p w:rsidR="00ED1D27" w:rsidRPr="00E83A34" w:rsidRDefault="00ED1D27" w:rsidP="00ED1D27">
      <w:pPr>
        <w:pStyle w:val="Bodyt"/>
      </w:pPr>
      <w:r w:rsidRPr="00E83A34">
        <w:t xml:space="preserve">Personalikoolitusi korraldab personaliosakond koostöös avatud ülikooli, </w:t>
      </w:r>
      <w:r>
        <w:t>õppeosakonna</w:t>
      </w:r>
      <w:r w:rsidRPr="00E83A34">
        <w:t>, Eesti inseneripedagoogika keskuse ning teiste struktuuriüksustega lähtudes koolitusvajadusest, koolitusprioriteetidest ja finantsvõimalustest.</w:t>
      </w:r>
    </w:p>
    <w:p w:rsidR="00ED1D27" w:rsidRPr="00E83A34" w:rsidRDefault="00ED1D27" w:rsidP="00ED1D27">
      <w:pPr>
        <w:pStyle w:val="Bodyt"/>
      </w:pPr>
      <w:r w:rsidRPr="00E83A34">
        <w:t>Koolituse ülikoolipoolseks kontaktisikuks on koolituse informatsiooni juures märgitud personaliosakonna spetsialist.</w:t>
      </w:r>
    </w:p>
    <w:p w:rsidR="00ED1D27" w:rsidRPr="00E83A34" w:rsidRDefault="00ED1D27" w:rsidP="00ED1D27">
      <w:pPr>
        <w:pStyle w:val="Loetelu"/>
      </w:pPr>
      <w:r w:rsidRPr="00E83A34">
        <w:t>Tasemekoolituse toetamine</w:t>
      </w:r>
    </w:p>
    <w:p w:rsidR="00ED1D27" w:rsidRPr="00E83A34" w:rsidRDefault="00ED1D27" w:rsidP="00ED1D27">
      <w:pPr>
        <w:pStyle w:val="Bodyt"/>
      </w:pPr>
      <w:r w:rsidRPr="00E83A34">
        <w:t xml:space="preserve">Tasemekoolitusel osalemiseks võimaldatakse töötajale </w:t>
      </w:r>
      <w:r>
        <w:t xml:space="preserve">tema taotluse </w:t>
      </w:r>
      <w:r w:rsidRPr="00E83A34">
        <w:t xml:space="preserve">ja õppeasutuse teatise alusel </w:t>
      </w:r>
      <w:r>
        <w:t xml:space="preserve">ülikooli poolt </w:t>
      </w:r>
      <w:r w:rsidRPr="00E83A34">
        <w:t>õppepuhkust vastavalt täiskasvanute koolituse seadusele</w:t>
      </w:r>
      <w:r w:rsidR="007A2F84">
        <w:t>.</w:t>
      </w:r>
    </w:p>
    <w:p w:rsidR="00ED1D27" w:rsidRPr="00E83A34" w:rsidRDefault="00ED1D27" w:rsidP="00ED1D27">
      <w:pPr>
        <w:pStyle w:val="Bodyt"/>
      </w:pPr>
      <w:r w:rsidRPr="00E83A34">
        <w:t>Töötajate tasemekoolitust ülikool üldjuhul ei finantseeri.</w:t>
      </w:r>
    </w:p>
    <w:p w:rsidR="00ED1D27" w:rsidRPr="00E83A34" w:rsidRDefault="00ED1D27" w:rsidP="00ED1D27">
      <w:pPr>
        <w:pStyle w:val="Bodyt"/>
      </w:pPr>
      <w:r w:rsidRPr="00E83A34">
        <w:t xml:space="preserve">Erandkorras otsustab töötaja kõrghariduse tasemekoolituse finantseerimises osalemise </w:t>
      </w:r>
      <w:r>
        <w:t xml:space="preserve">töötaja </w:t>
      </w:r>
      <w:r w:rsidRPr="00E83A34">
        <w:t>struktuuriüksuse juht töötaja avalduse alusel.</w:t>
      </w:r>
    </w:p>
    <w:p w:rsidR="00ED1D27" w:rsidRPr="00E83A34" w:rsidRDefault="00ED1D27" w:rsidP="00ED1D27">
      <w:pPr>
        <w:pStyle w:val="Bodyt"/>
      </w:pPr>
      <w:r w:rsidRPr="00E83A34">
        <w:t>Tasemekoolituse</w:t>
      </w:r>
      <w:r>
        <w:t xml:space="preserve"> finantseerimises</w:t>
      </w:r>
      <w:r w:rsidRPr="00E83A34">
        <w:t xml:space="preserve"> osalemisel </w:t>
      </w:r>
      <w:r>
        <w:t xml:space="preserve">arvestatakse </w:t>
      </w:r>
      <w:r w:rsidRPr="00E83A34">
        <w:t xml:space="preserve">ülikooli finantseerimise ulatuse </w:t>
      </w:r>
      <w:r>
        <w:t xml:space="preserve">otsustamisel </w:t>
      </w:r>
      <w:r w:rsidRPr="00E83A34">
        <w:t>iga taotleja puhul muuhulgas järgmis</w:t>
      </w:r>
      <w:r>
        <w:t>e</w:t>
      </w:r>
      <w:r w:rsidRPr="00E83A34">
        <w:t>i</w:t>
      </w:r>
      <w:r>
        <w:t>d</w:t>
      </w:r>
      <w:r w:rsidRPr="00E83A34">
        <w:t xml:space="preserve"> </w:t>
      </w:r>
      <w:r>
        <w:t>asjaolusid</w:t>
      </w:r>
      <w:r w:rsidRPr="00E83A34">
        <w:t xml:space="preserve">: </w:t>
      </w:r>
    </w:p>
    <w:p w:rsidR="00ED1D27" w:rsidRPr="00E83A34" w:rsidRDefault="00ED1D27" w:rsidP="00ED1D27">
      <w:pPr>
        <w:pStyle w:val="Bodyt1"/>
      </w:pPr>
      <w:r w:rsidRPr="00E83A34">
        <w:t>õpitava eriala</w:t>
      </w:r>
      <w:r>
        <w:t xml:space="preserve"> või </w:t>
      </w:r>
      <w:r w:rsidRPr="00E83A34">
        <w:t xml:space="preserve">valdkonna seotus töötaja </w:t>
      </w:r>
      <w:r>
        <w:t xml:space="preserve">töölepingujärgsete </w:t>
      </w:r>
      <w:r w:rsidRPr="00E83A34">
        <w:t>või planeeritavate tööülesannetega ning ülikooli eesmärkidega;</w:t>
      </w:r>
    </w:p>
    <w:p w:rsidR="00ED1D27" w:rsidRPr="00E83A34" w:rsidRDefault="00ED1D27" w:rsidP="00ED1D27">
      <w:pPr>
        <w:pStyle w:val="Bodyt1"/>
      </w:pPr>
      <w:r w:rsidRPr="00E83A34">
        <w:t xml:space="preserve">töötaja ülikoolis töötamise aeg ja tööpanus; </w:t>
      </w:r>
    </w:p>
    <w:p w:rsidR="00ED1D27" w:rsidRPr="00E83A34" w:rsidRDefault="00ED1D27" w:rsidP="00ED1D27">
      <w:pPr>
        <w:pStyle w:val="Bodyt1"/>
      </w:pPr>
      <w:r w:rsidRPr="00E83A34">
        <w:t>töötaja arenguperspektiivid.</w:t>
      </w:r>
    </w:p>
    <w:p w:rsidR="00ED1D27" w:rsidRPr="00E83A34" w:rsidRDefault="00ED1D27" w:rsidP="00ED1D27">
      <w:pPr>
        <w:pStyle w:val="Loetelu"/>
      </w:pPr>
      <w:r w:rsidRPr="00E83A34">
        <w:t>Koolitustegevuse tulemuslikkuse hindamine ja arvestuse pidamine</w:t>
      </w:r>
    </w:p>
    <w:p w:rsidR="00ED1D27" w:rsidRPr="00E83A34" w:rsidRDefault="00ED1D27" w:rsidP="00ED1D27">
      <w:pPr>
        <w:pStyle w:val="Bodyt"/>
      </w:pPr>
      <w:r w:rsidRPr="00E83A34">
        <w:t xml:space="preserve">Koolitustegevuse tulemuslikkuse hindamine on koolitustele seatud eesmärkide täitmise jälgimine, mida koolitusel osalenud töötaja ja tema vahetu juht saavad hinnata arengu- ja karjäärivestluse käigus. </w:t>
      </w:r>
    </w:p>
    <w:p w:rsidR="00ED1D27" w:rsidRPr="00E83A34" w:rsidRDefault="00ED1D27" w:rsidP="00ED1D27">
      <w:pPr>
        <w:pStyle w:val="Bodyt"/>
      </w:pPr>
      <w:r w:rsidRPr="00E83A34">
        <w:t xml:space="preserve">Koolitustegevuse </w:t>
      </w:r>
      <w:r w:rsidR="007A2F84">
        <w:t>tulemuslikkuse</w:t>
      </w:r>
      <w:r w:rsidR="007A2F84" w:rsidRPr="00E83A34">
        <w:t xml:space="preserve"> </w:t>
      </w:r>
      <w:r w:rsidRPr="00E83A34">
        <w:t>hindamiseks kogub ja analüüsib andmeid personaliosakond.</w:t>
      </w:r>
    </w:p>
    <w:p w:rsidR="00ED1D27" w:rsidRPr="00E83A34" w:rsidRDefault="00ED1D27" w:rsidP="00ED1D27">
      <w:pPr>
        <w:pStyle w:val="Bodyt"/>
      </w:pPr>
      <w:r w:rsidRPr="00E83A34">
        <w:t>Iga koolituse lõpus täidab  koolitusel osaleja tagasisidelehe toimunud koolituse kohta.</w:t>
      </w:r>
    </w:p>
    <w:p w:rsidR="00ED1D27" w:rsidRPr="00E83A34" w:rsidRDefault="00ED1D27" w:rsidP="00ED1D27">
      <w:pPr>
        <w:pStyle w:val="Bodyt"/>
      </w:pPr>
      <w:r w:rsidRPr="00E83A34">
        <w:t>Andmed töötaja koolitustel osalemise kohta säilitatakse personaliosakonna personaliarvestuse andmebaasis.</w:t>
      </w:r>
    </w:p>
    <w:p w:rsidR="00ED1D27" w:rsidRPr="00E83A34" w:rsidRDefault="00ED1D27" w:rsidP="00ED1D27">
      <w:pPr>
        <w:pStyle w:val="Bodyt"/>
      </w:pPr>
      <w:r w:rsidRPr="00E83A34">
        <w:t xml:space="preserve">Töötaja täienduskoolitustel osalemise kohta peetakse arvestust </w:t>
      </w:r>
      <w:r>
        <w:t>personaliosakonna personaliarvestussüsteemis.</w:t>
      </w:r>
    </w:p>
    <w:p w:rsidR="00DB512A" w:rsidRPr="00ED1D27" w:rsidRDefault="00ED1D27" w:rsidP="00ED1D27">
      <w:pPr>
        <w:pStyle w:val="Loetelu"/>
        <w:rPr>
          <w:rFonts w:eastAsiaTheme="minorHAnsi"/>
        </w:rPr>
      </w:pPr>
      <w:r>
        <w:rPr>
          <w:rFonts w:eastAsiaTheme="minorHAnsi"/>
        </w:rPr>
        <w:t>Rakendussätted</w:t>
      </w:r>
    </w:p>
    <w:p w:rsidR="004D03F5" w:rsidRDefault="00DA780B" w:rsidP="00DA780B">
      <w:pPr>
        <w:pStyle w:val="Bodyt"/>
      </w:pPr>
      <w:r w:rsidRPr="00DA780B">
        <w:t>Personalikoolituse korralduse eeskiri</w:t>
      </w:r>
      <w:r>
        <w:t xml:space="preserve"> (kinnitatud rektori </w:t>
      </w:r>
      <w:r w:rsidRPr="00DA780B">
        <w:t>3.</w:t>
      </w:r>
      <w:r>
        <w:t xml:space="preserve"> septembri </w:t>
      </w:r>
      <w:r w:rsidRPr="00DA780B">
        <w:t>2014</w:t>
      </w:r>
      <w:r>
        <w:t xml:space="preserve">. a </w:t>
      </w:r>
      <w:r w:rsidRPr="00DA780B">
        <w:t>käskkirjaga nr 239</w:t>
      </w:r>
      <w:r>
        <w:t>) tunnistatakse kehtetuks.</w:t>
      </w:r>
    </w:p>
    <w:p w:rsidR="00DB512A" w:rsidRPr="00DB512A" w:rsidRDefault="00DB512A" w:rsidP="0040190D">
      <w:pPr>
        <w:pStyle w:val="Bodyt"/>
      </w:pPr>
      <w:r>
        <w:t xml:space="preserve">Käskkiri jõustub </w:t>
      </w:r>
      <w:r w:rsidR="00D4340F">
        <w:t xml:space="preserve">1. september </w:t>
      </w:r>
      <w:r w:rsidR="00ED1D27">
        <w:t>2018. a</w:t>
      </w:r>
      <w:r w:rsidR="0040190D">
        <w:t>.</w:t>
      </w:r>
    </w:p>
    <w:sectPr w:rsidR="00DB512A" w:rsidRPr="00DB512A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4D" w:rsidRDefault="001B0E4D">
      <w:r>
        <w:separator/>
      </w:r>
    </w:p>
  </w:endnote>
  <w:endnote w:type="continuationSeparator" w:id="0">
    <w:p w:rsidR="001B0E4D" w:rsidRDefault="001B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4D" w:rsidRDefault="001B0E4D">
      <w:r>
        <w:separator/>
      </w:r>
    </w:p>
  </w:footnote>
  <w:footnote w:type="continuationSeparator" w:id="0">
    <w:p w:rsidR="001B0E4D" w:rsidRDefault="001B0E4D">
      <w:r>
        <w:continuationSeparator/>
      </w:r>
    </w:p>
  </w:footnote>
  <w:footnote w:id="1">
    <w:p w:rsidR="00ED1D27" w:rsidRPr="00ED1D27" w:rsidRDefault="00ED1D27" w:rsidP="00ED1D27">
      <w:pPr>
        <w:pStyle w:val="FootnoteText"/>
        <w:rPr>
          <w:rFonts w:asciiTheme="minorHAnsi" w:hAnsiTheme="minorHAnsi" w:cstheme="minorHAnsi"/>
        </w:rPr>
      </w:pPr>
      <w:r w:rsidRPr="00ED1D27">
        <w:rPr>
          <w:rStyle w:val="FootnoteReference"/>
          <w:rFonts w:asciiTheme="minorHAnsi" w:hAnsiTheme="minorHAnsi" w:cstheme="minorHAnsi"/>
        </w:rPr>
        <w:footnoteRef/>
      </w:r>
      <w:r w:rsidRPr="00ED1D27">
        <w:rPr>
          <w:rFonts w:asciiTheme="minorHAnsi" w:hAnsiTheme="minorHAnsi" w:cstheme="minorHAnsi"/>
        </w:rPr>
        <w:t xml:space="preserve"> Inglise keel C1 tasemel on suunatud akadeemilistele töötajatele.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B2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305"/>
    <w:multiLevelType w:val="multilevel"/>
    <w:tmpl w:val="890AA9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27"/>
    <w:rsid w:val="00005AB4"/>
    <w:rsid w:val="000C2B24"/>
    <w:rsid w:val="0015159C"/>
    <w:rsid w:val="00166714"/>
    <w:rsid w:val="00191C92"/>
    <w:rsid w:val="001A48DE"/>
    <w:rsid w:val="001B0E4D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D5E8F"/>
    <w:rsid w:val="002F4CFD"/>
    <w:rsid w:val="002F539C"/>
    <w:rsid w:val="003111FD"/>
    <w:rsid w:val="003A03ED"/>
    <w:rsid w:val="003A5175"/>
    <w:rsid w:val="003B1E0E"/>
    <w:rsid w:val="003B5D1F"/>
    <w:rsid w:val="003E47C5"/>
    <w:rsid w:val="003F6316"/>
    <w:rsid w:val="003F64D5"/>
    <w:rsid w:val="0040190D"/>
    <w:rsid w:val="00490791"/>
    <w:rsid w:val="004A6074"/>
    <w:rsid w:val="004A7ED8"/>
    <w:rsid w:val="004B2413"/>
    <w:rsid w:val="004C4600"/>
    <w:rsid w:val="004D03F5"/>
    <w:rsid w:val="005548D8"/>
    <w:rsid w:val="00581B1E"/>
    <w:rsid w:val="005916D1"/>
    <w:rsid w:val="00594466"/>
    <w:rsid w:val="005A1C49"/>
    <w:rsid w:val="005C0C52"/>
    <w:rsid w:val="005C7E55"/>
    <w:rsid w:val="00612761"/>
    <w:rsid w:val="00652A11"/>
    <w:rsid w:val="006604B2"/>
    <w:rsid w:val="00675987"/>
    <w:rsid w:val="006779E5"/>
    <w:rsid w:val="006A6A39"/>
    <w:rsid w:val="006D753A"/>
    <w:rsid w:val="007402B4"/>
    <w:rsid w:val="00780A0D"/>
    <w:rsid w:val="00795AF6"/>
    <w:rsid w:val="007A2F84"/>
    <w:rsid w:val="007A4F68"/>
    <w:rsid w:val="007F553A"/>
    <w:rsid w:val="00800B6E"/>
    <w:rsid w:val="00821FA5"/>
    <w:rsid w:val="00844750"/>
    <w:rsid w:val="008B6D49"/>
    <w:rsid w:val="008D2DCA"/>
    <w:rsid w:val="008D3687"/>
    <w:rsid w:val="008F28A4"/>
    <w:rsid w:val="009B5254"/>
    <w:rsid w:val="009D638A"/>
    <w:rsid w:val="009F55A7"/>
    <w:rsid w:val="009F71F0"/>
    <w:rsid w:val="00A03E2A"/>
    <w:rsid w:val="00A51164"/>
    <w:rsid w:val="00A6532D"/>
    <w:rsid w:val="00A80116"/>
    <w:rsid w:val="00A80EC2"/>
    <w:rsid w:val="00A86954"/>
    <w:rsid w:val="00AB7B24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E0B45"/>
    <w:rsid w:val="00CF503E"/>
    <w:rsid w:val="00D26F57"/>
    <w:rsid w:val="00D4340F"/>
    <w:rsid w:val="00D43664"/>
    <w:rsid w:val="00D50919"/>
    <w:rsid w:val="00D82B72"/>
    <w:rsid w:val="00D9452F"/>
    <w:rsid w:val="00DA780B"/>
    <w:rsid w:val="00DB512A"/>
    <w:rsid w:val="00DD10D0"/>
    <w:rsid w:val="00E00818"/>
    <w:rsid w:val="00E33B87"/>
    <w:rsid w:val="00E44CAE"/>
    <w:rsid w:val="00E51D5F"/>
    <w:rsid w:val="00E55362"/>
    <w:rsid w:val="00E7551A"/>
    <w:rsid w:val="00E8728E"/>
    <w:rsid w:val="00E94E83"/>
    <w:rsid w:val="00E969F6"/>
    <w:rsid w:val="00EA7DD5"/>
    <w:rsid w:val="00EB0250"/>
    <w:rsid w:val="00ED183F"/>
    <w:rsid w:val="00ED1D27"/>
    <w:rsid w:val="00EE150D"/>
    <w:rsid w:val="00F06F8D"/>
    <w:rsid w:val="00F44F64"/>
    <w:rsid w:val="00F46FA9"/>
    <w:rsid w:val="00F849F4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C39C7A2"/>
  <w15:docId w15:val="{D4C9FB4D-9400-453A-AFCD-7FBD8C5E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F6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DB512A"/>
    <w:pPr>
      <w:numPr>
        <w:numId w:val="4"/>
      </w:numPr>
      <w:spacing w:before="120"/>
    </w:pPr>
    <w:rPr>
      <w:b/>
    </w:rPr>
  </w:style>
  <w:style w:type="paragraph" w:customStyle="1" w:styleId="Bodyt">
    <w:name w:val="Bodyt"/>
    <w:basedOn w:val="Normal"/>
    <w:rsid w:val="0040190D"/>
    <w:pPr>
      <w:numPr>
        <w:ilvl w:val="1"/>
        <w:numId w:val="4"/>
      </w:numPr>
      <w:spacing w:before="80"/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B512A"/>
    <w:rPr>
      <w:color w:val="808080"/>
    </w:rPr>
  </w:style>
  <w:style w:type="paragraph" w:customStyle="1" w:styleId="Lisatekst">
    <w:name w:val="Lisatekst"/>
    <w:basedOn w:val="BodyText"/>
    <w:rsid w:val="00ED1D27"/>
    <w:pPr>
      <w:numPr>
        <w:numId w:val="5"/>
      </w:numPr>
      <w:tabs>
        <w:tab w:val="left" w:pos="6521"/>
      </w:tabs>
      <w:spacing w:before="120"/>
    </w:pPr>
    <w:rPr>
      <w:rFonts w:ascii="Times New Roman" w:hAnsi="Times New Roman"/>
      <w:sz w:val="24"/>
    </w:rPr>
  </w:style>
  <w:style w:type="paragraph" w:customStyle="1" w:styleId="LisaBodyt">
    <w:name w:val="LisaBodyt"/>
    <w:basedOn w:val="Bodyt"/>
    <w:qFormat/>
    <w:rsid w:val="00ED1D27"/>
    <w:pPr>
      <w:numPr>
        <w:numId w:val="5"/>
      </w:numPr>
    </w:pPr>
    <w:rPr>
      <w:rFonts w:ascii="Times New Roman" w:eastAsia="Times New Roman" w:hAnsi="Times New Roman"/>
      <w:sz w:val="24"/>
      <w:szCs w:val="20"/>
    </w:rPr>
  </w:style>
  <w:style w:type="paragraph" w:customStyle="1" w:styleId="LisaBodyt2">
    <w:name w:val="LisaBodyt2"/>
    <w:basedOn w:val="LisaBodyt"/>
    <w:qFormat/>
    <w:rsid w:val="00ED1D27"/>
    <w:pPr>
      <w:numPr>
        <w:ilvl w:val="2"/>
      </w:numPr>
      <w:spacing w:before="0"/>
    </w:pPr>
  </w:style>
  <w:style w:type="paragraph" w:styleId="ListParagraph">
    <w:name w:val="List Paragraph"/>
    <w:basedOn w:val="Normal"/>
    <w:uiPriority w:val="34"/>
    <w:qFormat/>
    <w:rsid w:val="00ED1D27"/>
    <w:pPr>
      <w:ind w:left="720"/>
      <w:contextualSpacing/>
    </w:pPr>
    <w:rPr>
      <w:rFonts w:ascii="Times New Roman" w:hAnsi="Times New Roman"/>
      <w:sz w:val="20"/>
      <w:lang w:val="en-GB"/>
    </w:rPr>
  </w:style>
  <w:style w:type="paragraph" w:customStyle="1" w:styleId="Bodylisam">
    <w:name w:val="Bodylisam"/>
    <w:basedOn w:val="Normal"/>
    <w:rsid w:val="00ED1D27"/>
    <w:pPr>
      <w:spacing w:before="80"/>
    </w:pPr>
    <w:rPr>
      <w:rFonts w:ascii="Times New Roman" w:hAnsi="Times New Roman"/>
      <w:sz w:val="24"/>
      <w:lang w:val="en-GB"/>
    </w:rPr>
  </w:style>
  <w:style w:type="paragraph" w:customStyle="1" w:styleId="Bodymlisa">
    <w:name w:val="Bodymlisa"/>
    <w:basedOn w:val="Normal"/>
    <w:rsid w:val="00ED1D27"/>
    <w:rPr>
      <w:rFonts w:ascii="Times New Roman" w:hAnsi="Times New Roman"/>
      <w:sz w:val="24"/>
      <w:lang w:val="en-GB"/>
    </w:rPr>
  </w:style>
  <w:style w:type="paragraph" w:styleId="FootnoteText">
    <w:name w:val="footnote text"/>
    <w:basedOn w:val="Normal"/>
    <w:link w:val="FootnoteTextChar"/>
    <w:rsid w:val="00ED1D2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ED1D27"/>
    <w:rPr>
      <w:lang w:eastAsia="en-US"/>
    </w:rPr>
  </w:style>
  <w:style w:type="character" w:styleId="FootnoteReference">
    <w:name w:val="footnote reference"/>
    <w:basedOn w:val="DefaultParagraphFont"/>
    <w:rsid w:val="00ED1D2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F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64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Kaskkiri_u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Kaskkiri_uus</Template>
  <TotalTime>5</TotalTime>
  <Pages>2</Pages>
  <Words>583</Words>
  <Characters>4895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Liis Tõnisson</dc:creator>
  <cp:keywords/>
  <dc:description/>
  <cp:lastModifiedBy>Kairi Schütz</cp:lastModifiedBy>
  <cp:revision>4</cp:revision>
  <cp:lastPrinted>2002-08-26T08:36:00Z</cp:lastPrinted>
  <dcterms:created xsi:type="dcterms:W3CDTF">2018-09-14T07:22:00Z</dcterms:created>
  <dcterms:modified xsi:type="dcterms:W3CDTF">2018-09-14T12:41:00Z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
    </vt:lpwstr>
  </property>
  <property fmtid="{D5CDD505-2E9C-101B-9397-08002B2CF9AE}" pid="3" name="DLX:RegistrationNo">
    <vt:lpwstr>
    </vt:lpwstr>
  </property>
</Properties>
</file>