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20E0" w14:textId="77777777" w:rsidR="001E30C3" w:rsidRPr="00F66987" w:rsidRDefault="008F72A4" w:rsidP="00353CA2">
      <w:pPr>
        <w:pStyle w:val="Tallinn"/>
        <w:tabs>
          <w:tab w:val="left" w:pos="6285"/>
        </w:tabs>
        <w:spacing w:before="0"/>
        <w:jc w:val="right"/>
        <w:rPr>
          <w:rFonts w:asciiTheme="minorHAnsi" w:hAnsiTheme="minorHAnsi"/>
          <w:sz w:val="22"/>
          <w:szCs w:val="22"/>
        </w:rPr>
      </w:pPr>
      <w:bookmarkStart w:id="0" w:name="_GoBack"/>
      <w:r w:rsidRPr="00F66987">
        <w:rPr>
          <w:rFonts w:asciiTheme="minorHAnsi" w:hAnsiTheme="minorHAnsi"/>
          <w:sz w:val="22"/>
          <w:szCs w:val="22"/>
        </w:rPr>
        <w:t>TERVIKTEKST</w:t>
      </w:r>
    </w:p>
    <w:p w14:paraId="3F8C0A8A" w14:textId="77777777" w:rsidR="008F72A4" w:rsidRPr="00F66987" w:rsidRDefault="008F72A4" w:rsidP="00DF747C">
      <w:pPr>
        <w:pStyle w:val="BodyText"/>
        <w:spacing w:before="12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Kehtestatud T</w:t>
      </w:r>
      <w:r w:rsidR="00353CA2" w:rsidRPr="00F66987">
        <w:rPr>
          <w:rFonts w:asciiTheme="minorHAnsi" w:hAnsiTheme="minorHAnsi"/>
          <w:sz w:val="22"/>
          <w:szCs w:val="22"/>
        </w:rPr>
        <w:t>allinna Tehnikaülikooli</w:t>
      </w:r>
      <w:r w:rsidRPr="00F66987">
        <w:rPr>
          <w:rFonts w:asciiTheme="minorHAnsi" w:hAnsiTheme="minorHAnsi"/>
          <w:sz w:val="22"/>
          <w:szCs w:val="22"/>
        </w:rPr>
        <w:t xml:space="preserve"> nõukogu 19.04.2016 määrusega nr 2</w:t>
      </w:r>
    </w:p>
    <w:p w14:paraId="7A7D2FD0" w14:textId="77777777" w:rsidR="000E3B89" w:rsidRPr="00F66987" w:rsidRDefault="000E3B89" w:rsidP="008F72A4">
      <w:pPr>
        <w:pStyle w:val="BodyTex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Muudetud T</w:t>
      </w:r>
      <w:r w:rsidR="00353CA2" w:rsidRPr="00F66987">
        <w:rPr>
          <w:rFonts w:asciiTheme="minorHAnsi" w:hAnsiTheme="minorHAnsi"/>
          <w:sz w:val="22"/>
          <w:szCs w:val="22"/>
        </w:rPr>
        <w:t>allinna Tehnikaülikooli</w:t>
      </w:r>
      <w:r w:rsidRPr="00F66987">
        <w:rPr>
          <w:rFonts w:asciiTheme="minorHAnsi" w:hAnsiTheme="minorHAnsi"/>
          <w:sz w:val="22"/>
          <w:szCs w:val="22"/>
        </w:rPr>
        <w:t xml:space="preserve"> nõukogu 21.03.2017 määrusega nr 5</w:t>
      </w:r>
    </w:p>
    <w:p w14:paraId="2FA03D0B" w14:textId="77777777" w:rsidR="00585E32" w:rsidRPr="00F66987" w:rsidRDefault="00585E32" w:rsidP="008F72A4">
      <w:pPr>
        <w:pStyle w:val="BodyTex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Muudetud T</w:t>
      </w:r>
      <w:r w:rsidR="00353CA2" w:rsidRPr="00F66987">
        <w:rPr>
          <w:rFonts w:asciiTheme="minorHAnsi" w:hAnsiTheme="minorHAnsi"/>
          <w:sz w:val="22"/>
          <w:szCs w:val="22"/>
        </w:rPr>
        <w:t xml:space="preserve">allinna Tehnikaülikooli </w:t>
      </w:r>
      <w:r w:rsidRPr="00F66987">
        <w:rPr>
          <w:rFonts w:asciiTheme="minorHAnsi" w:hAnsiTheme="minorHAnsi"/>
          <w:sz w:val="22"/>
          <w:szCs w:val="22"/>
        </w:rPr>
        <w:t>nõukogu 21.11.2017 määrusega nr 12</w:t>
      </w:r>
    </w:p>
    <w:p w14:paraId="315299DA" w14:textId="77777777" w:rsidR="00353CA2" w:rsidRPr="00F66987" w:rsidRDefault="00353CA2" w:rsidP="008F72A4">
      <w:pPr>
        <w:pStyle w:val="BodyTex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Muudetud Tallinna Tehnikaülikooli senati 22.10.2019 määrusega nr 9 (jõustunud 01.11.2019)</w:t>
      </w:r>
    </w:p>
    <w:p w14:paraId="48E50547" w14:textId="18F1FB74" w:rsidR="00961469" w:rsidRPr="00F66987" w:rsidRDefault="00961469" w:rsidP="008F72A4">
      <w:pPr>
        <w:pStyle w:val="BodyTex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Muudetud Tallinna Tehnikaülikooli senati 18.02.2020 määrusega nr 1 (jõustunud 20.02.2020, välja arvatud § 4 lg 4 punkt 4 ja § 4 lg 5 punkt 4, mis jõustuvad 2021/2022. õppeaastast)</w:t>
      </w:r>
    </w:p>
    <w:p w14:paraId="16483F73" w14:textId="0CC04078" w:rsidR="00855BA9" w:rsidRPr="00F66987" w:rsidRDefault="00855BA9" w:rsidP="008F72A4">
      <w:pPr>
        <w:pStyle w:val="BodyTex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Muudetud Tallinna Tehnikaülikooli senati 18.05.2021 määrusega nr 4 (jõustunud </w:t>
      </w:r>
      <w:r w:rsidR="009E78D3" w:rsidRPr="00F66987">
        <w:rPr>
          <w:rFonts w:asciiTheme="minorHAnsi" w:hAnsiTheme="minorHAnsi"/>
          <w:sz w:val="22"/>
          <w:szCs w:val="22"/>
        </w:rPr>
        <w:t>23</w:t>
      </w:r>
      <w:r w:rsidRPr="00F66987">
        <w:rPr>
          <w:rFonts w:asciiTheme="minorHAnsi" w:hAnsiTheme="minorHAnsi"/>
          <w:sz w:val="22"/>
          <w:szCs w:val="22"/>
        </w:rPr>
        <w:t>.05.2021)</w:t>
      </w:r>
    </w:p>
    <w:p w14:paraId="150860C5" w14:textId="676A8E51" w:rsidR="007D78D4" w:rsidRPr="00F66987" w:rsidRDefault="007D78D4" w:rsidP="00DF747C">
      <w:pPr>
        <w:pStyle w:val="Bodyl"/>
        <w:spacing w:before="120"/>
        <w:jc w:val="left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bCs/>
          <w:sz w:val="22"/>
          <w:szCs w:val="22"/>
        </w:rPr>
        <w:t xml:space="preserve">Redaktsiooni jõustumise kuupäev: </w:t>
      </w:r>
      <w:r w:rsidR="009E78D3" w:rsidRPr="00F66987">
        <w:rPr>
          <w:rFonts w:asciiTheme="minorHAnsi" w:hAnsiTheme="minorHAnsi"/>
          <w:sz w:val="22"/>
          <w:szCs w:val="22"/>
        </w:rPr>
        <w:t>23</w:t>
      </w:r>
      <w:r w:rsidR="00855BA9" w:rsidRPr="00F66987">
        <w:rPr>
          <w:rFonts w:asciiTheme="minorHAnsi" w:hAnsiTheme="minorHAnsi"/>
          <w:sz w:val="22"/>
          <w:szCs w:val="22"/>
        </w:rPr>
        <w:t>.05.2021</w:t>
      </w:r>
    </w:p>
    <w:p w14:paraId="7D750F39" w14:textId="77777777" w:rsidR="001E30C3" w:rsidRPr="00F66987" w:rsidRDefault="0084100C" w:rsidP="00DF747C">
      <w:pPr>
        <w:pStyle w:val="Pealk1"/>
        <w:spacing w:before="360" w:after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statuut</w:t>
      </w:r>
    </w:p>
    <w:p w14:paraId="0ED5FD9D" w14:textId="77777777" w:rsidR="0031245F" w:rsidRPr="00F66987" w:rsidRDefault="0031245F">
      <w:pPr>
        <w:pStyle w:val="Heading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br/>
      </w:r>
      <w:r w:rsidR="00F535CA" w:rsidRPr="00F66987">
        <w:rPr>
          <w:rFonts w:asciiTheme="minorHAnsi" w:hAnsiTheme="minorHAnsi"/>
          <w:sz w:val="22"/>
          <w:szCs w:val="22"/>
        </w:rPr>
        <w:t>ÜLDSÄTTED</w:t>
      </w:r>
    </w:p>
    <w:p w14:paraId="426F25E9" w14:textId="77777777" w:rsidR="006E63F7" w:rsidRPr="00F66987" w:rsidRDefault="00FB715F" w:rsidP="00945594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Ülesanne</w:t>
      </w:r>
    </w:p>
    <w:p w14:paraId="3D0E2620" w14:textId="77777777" w:rsidR="00F535CA" w:rsidRPr="00F66987" w:rsidRDefault="00F535CA" w:rsidP="00FE2A97">
      <w:pPr>
        <w:pStyle w:val="Bodym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statuudiga </w:t>
      </w:r>
      <w:r w:rsidR="00FB715F" w:rsidRPr="00F66987">
        <w:rPr>
          <w:rFonts w:asciiTheme="minorHAnsi" w:hAnsiTheme="minorHAnsi"/>
          <w:sz w:val="22"/>
          <w:szCs w:val="22"/>
        </w:rPr>
        <w:t>sätestatakse Tallinna Tehnikaülikooli (edaspidi</w:t>
      </w:r>
      <w:r w:rsidR="00FB715F" w:rsidRPr="00F66987">
        <w:rPr>
          <w:rFonts w:asciiTheme="minorHAnsi" w:hAnsiTheme="minorHAnsi"/>
          <w:i/>
          <w:sz w:val="22"/>
          <w:szCs w:val="22"/>
        </w:rPr>
        <w:t xml:space="preserve"> ülikool</w:t>
      </w:r>
      <w:r w:rsidR="00FB715F" w:rsidRPr="00F66987">
        <w:rPr>
          <w:rFonts w:asciiTheme="minorHAnsi" w:hAnsiTheme="minorHAnsi"/>
          <w:sz w:val="22"/>
          <w:szCs w:val="22"/>
        </w:rPr>
        <w:t xml:space="preserve">) </w:t>
      </w:r>
      <w:r w:rsidRPr="00F66987">
        <w:rPr>
          <w:rFonts w:asciiTheme="minorHAnsi" w:hAnsiTheme="minorHAnsi"/>
          <w:sz w:val="22"/>
          <w:szCs w:val="22"/>
        </w:rPr>
        <w:t xml:space="preserve">tasemeõppe õppekavade ülesehituse, koostamise, avamise, </w:t>
      </w:r>
      <w:r w:rsidR="00F536C7" w:rsidRPr="00F66987">
        <w:rPr>
          <w:rFonts w:asciiTheme="minorHAnsi" w:hAnsiTheme="minorHAnsi"/>
          <w:sz w:val="22"/>
          <w:szCs w:val="22"/>
        </w:rPr>
        <w:t xml:space="preserve">hindamise, muutmise ning </w:t>
      </w:r>
      <w:r w:rsidRPr="00F66987">
        <w:rPr>
          <w:rFonts w:asciiTheme="minorHAnsi" w:hAnsiTheme="minorHAnsi"/>
          <w:sz w:val="22"/>
          <w:szCs w:val="22"/>
        </w:rPr>
        <w:t>sulgemise tingimus</w:t>
      </w:r>
      <w:r w:rsidR="00FB715F" w:rsidRPr="00F66987">
        <w:rPr>
          <w:rFonts w:asciiTheme="minorHAnsi" w:hAnsiTheme="minorHAnsi"/>
          <w:sz w:val="22"/>
          <w:szCs w:val="22"/>
        </w:rPr>
        <w:t>ed</w:t>
      </w:r>
      <w:r w:rsidRPr="00F66987">
        <w:rPr>
          <w:rFonts w:asciiTheme="minorHAnsi" w:hAnsiTheme="minorHAnsi"/>
          <w:sz w:val="22"/>
          <w:szCs w:val="22"/>
        </w:rPr>
        <w:t xml:space="preserve"> ja kord</w:t>
      </w:r>
      <w:r w:rsidR="00FB715F" w:rsidRPr="00F66987">
        <w:rPr>
          <w:rFonts w:asciiTheme="minorHAnsi" w:hAnsiTheme="minorHAnsi"/>
          <w:sz w:val="22"/>
          <w:szCs w:val="22"/>
        </w:rPr>
        <w:t>.</w:t>
      </w:r>
      <w:r w:rsidRPr="00F66987">
        <w:rPr>
          <w:rFonts w:asciiTheme="minorHAnsi" w:hAnsiTheme="minorHAnsi"/>
          <w:sz w:val="22"/>
          <w:szCs w:val="22"/>
        </w:rPr>
        <w:t xml:space="preserve"> </w:t>
      </w:r>
    </w:p>
    <w:p w14:paraId="62D9623B" w14:textId="77777777" w:rsidR="0036720E" w:rsidRPr="00F66987" w:rsidRDefault="00295212" w:rsidP="00945594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</w:t>
      </w:r>
      <w:r w:rsidR="00220F74" w:rsidRPr="00F66987">
        <w:rPr>
          <w:rFonts w:asciiTheme="minorHAnsi" w:hAnsiTheme="minorHAnsi"/>
          <w:sz w:val="22"/>
          <w:szCs w:val="22"/>
        </w:rPr>
        <w:t>,</w:t>
      </w:r>
      <w:r w:rsidR="008D5FBD" w:rsidRPr="00F66987">
        <w:rPr>
          <w:rFonts w:asciiTheme="minorHAnsi" w:hAnsiTheme="minorHAnsi"/>
          <w:sz w:val="22"/>
          <w:szCs w:val="22"/>
        </w:rPr>
        <w:t xml:space="preserve"> õppe </w:t>
      </w:r>
      <w:r w:rsidR="001A5D36" w:rsidRPr="00F66987">
        <w:rPr>
          <w:rFonts w:asciiTheme="minorHAnsi" w:hAnsiTheme="minorHAnsi"/>
          <w:sz w:val="22"/>
          <w:szCs w:val="22"/>
        </w:rPr>
        <w:t xml:space="preserve">nominaalkestus </w:t>
      </w:r>
      <w:r w:rsidR="00220F74" w:rsidRPr="00F66987">
        <w:rPr>
          <w:rFonts w:asciiTheme="minorHAnsi" w:hAnsiTheme="minorHAnsi"/>
          <w:sz w:val="22"/>
          <w:szCs w:val="22"/>
        </w:rPr>
        <w:t>ja maht</w:t>
      </w:r>
    </w:p>
    <w:p w14:paraId="489A4BA6" w14:textId="77777777" w:rsidR="00293A67" w:rsidRPr="00F66987" w:rsidRDefault="007B387B" w:rsidP="00064C6C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</w:t>
      </w:r>
      <w:r w:rsidR="00293A67" w:rsidRPr="00F66987">
        <w:rPr>
          <w:rFonts w:asciiTheme="minorHAnsi" w:hAnsiTheme="minorHAnsi"/>
          <w:sz w:val="22"/>
          <w:szCs w:val="22"/>
        </w:rPr>
        <w:t xml:space="preserve">ppetöö </w:t>
      </w:r>
      <w:r w:rsidRPr="00F66987">
        <w:rPr>
          <w:rFonts w:asciiTheme="minorHAnsi" w:hAnsiTheme="minorHAnsi"/>
          <w:sz w:val="22"/>
          <w:szCs w:val="22"/>
        </w:rPr>
        <w:t xml:space="preserve">toimub </w:t>
      </w:r>
      <w:r w:rsidR="00293A67" w:rsidRPr="00F66987">
        <w:rPr>
          <w:rFonts w:asciiTheme="minorHAnsi" w:hAnsiTheme="minorHAnsi"/>
          <w:sz w:val="22"/>
          <w:szCs w:val="22"/>
        </w:rPr>
        <w:t>bakalaureuse- või rakenduskõrgharidusõppe, magistriõppe ja doktoriõppe</w:t>
      </w:r>
      <w:r w:rsidR="00803ACD" w:rsidRPr="00F66987">
        <w:rPr>
          <w:rFonts w:asciiTheme="minorHAnsi" w:hAnsiTheme="minorHAnsi"/>
          <w:sz w:val="22"/>
          <w:szCs w:val="22"/>
        </w:rPr>
        <w:t xml:space="preserve"> õppekavade alusel</w:t>
      </w:r>
      <w:r w:rsidR="00293A67" w:rsidRPr="00F66987">
        <w:rPr>
          <w:rFonts w:asciiTheme="minorHAnsi" w:hAnsiTheme="minorHAnsi"/>
          <w:sz w:val="22"/>
          <w:szCs w:val="22"/>
        </w:rPr>
        <w:t>.</w:t>
      </w:r>
      <w:r w:rsidR="008D5FBD" w:rsidRPr="00F66987">
        <w:rPr>
          <w:rFonts w:asciiTheme="minorHAnsi" w:hAnsiTheme="minorHAnsi"/>
          <w:sz w:val="22"/>
          <w:szCs w:val="22"/>
        </w:rPr>
        <w:t xml:space="preserve"> Ehitusinseneriõpe ja arhitektiõpe põhineb integreeritud bakalaureuse- ja magistriõppe (edaspidi </w:t>
      </w:r>
      <w:r w:rsidR="008D5FBD" w:rsidRPr="00F66987">
        <w:rPr>
          <w:rFonts w:asciiTheme="minorHAnsi" w:hAnsiTheme="minorHAnsi"/>
          <w:i/>
          <w:sz w:val="22"/>
          <w:szCs w:val="22"/>
        </w:rPr>
        <w:t>integreeritud õpe</w:t>
      </w:r>
      <w:r w:rsidR="008D5FBD" w:rsidRPr="00F66987">
        <w:rPr>
          <w:rFonts w:asciiTheme="minorHAnsi" w:hAnsiTheme="minorHAnsi"/>
          <w:sz w:val="22"/>
          <w:szCs w:val="22"/>
        </w:rPr>
        <w:t>) õppekavadel.</w:t>
      </w:r>
    </w:p>
    <w:p w14:paraId="6254ED74" w14:textId="77777777" w:rsidR="0036720E" w:rsidRPr="00F66987" w:rsidRDefault="0036720E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on õppe alusdokument, mis määrab kindlaks õppe </w:t>
      </w:r>
      <w:proofErr w:type="spellStart"/>
      <w:r w:rsidRPr="00F66987">
        <w:rPr>
          <w:rFonts w:asciiTheme="minorHAnsi" w:hAnsiTheme="minorHAnsi"/>
          <w:sz w:val="22"/>
          <w:szCs w:val="22"/>
        </w:rPr>
        <w:t>üldeesmärgid</w:t>
      </w:r>
      <w:proofErr w:type="spellEnd"/>
      <w:r w:rsidRPr="00F66987">
        <w:rPr>
          <w:rFonts w:asciiTheme="minorHAnsi" w:hAnsiTheme="minorHAnsi"/>
          <w:sz w:val="22"/>
          <w:szCs w:val="22"/>
        </w:rPr>
        <w:t xml:space="preserve">, õpiväljundid, õppekava nominaalkestuse ja mahu, õppekeele, </w:t>
      </w:r>
      <w:r w:rsidR="00CB64D1" w:rsidRPr="00F66987">
        <w:rPr>
          <w:rFonts w:asciiTheme="minorHAnsi" w:hAnsiTheme="minorHAnsi"/>
          <w:sz w:val="22"/>
          <w:szCs w:val="22"/>
        </w:rPr>
        <w:t>õppe alustamise tingimused, õppeainete loetelu, nende mahu ja lühikir</w:t>
      </w:r>
      <w:r w:rsidR="004B1CD8" w:rsidRPr="00F66987">
        <w:rPr>
          <w:rFonts w:asciiTheme="minorHAnsi" w:hAnsiTheme="minorHAnsi"/>
          <w:sz w:val="22"/>
          <w:szCs w:val="22"/>
        </w:rPr>
        <w:t>j</w:t>
      </w:r>
      <w:r w:rsidR="00CB64D1" w:rsidRPr="00F66987">
        <w:rPr>
          <w:rFonts w:asciiTheme="minorHAnsi" w:hAnsiTheme="minorHAnsi"/>
          <w:sz w:val="22"/>
          <w:szCs w:val="22"/>
        </w:rPr>
        <w:t xml:space="preserve">eldused </w:t>
      </w:r>
      <w:r w:rsidR="001C7707" w:rsidRPr="00F66987">
        <w:rPr>
          <w:rFonts w:asciiTheme="minorHAnsi" w:hAnsiTheme="minorHAnsi"/>
          <w:sz w:val="22"/>
          <w:szCs w:val="22"/>
        </w:rPr>
        <w:t xml:space="preserve">ning valikuvõimalused ja -tingimused, peaerialad, õppe lõpetamise tingimused, lõpetamisel väljastatavad dokumendid ja antavad kraadid. </w:t>
      </w:r>
    </w:p>
    <w:p w14:paraId="6F266649" w14:textId="77777777" w:rsidR="00860941" w:rsidRPr="00F66987" w:rsidRDefault="00860941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 kestus õppekavadel on järgmine:</w:t>
      </w:r>
    </w:p>
    <w:p w14:paraId="2F2EF4FC" w14:textId="77777777" w:rsidR="00860941" w:rsidRPr="00F66987" w:rsidRDefault="00860941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bakalaureuseõppe nominaalkestus on kolm aastat ja õppe maht 180 </w:t>
      </w:r>
      <w:r w:rsidR="00453AB9" w:rsidRPr="00F66987">
        <w:rPr>
          <w:rFonts w:asciiTheme="minorHAnsi" w:hAnsiTheme="minorHAnsi"/>
          <w:sz w:val="22"/>
          <w:szCs w:val="22"/>
        </w:rPr>
        <w:t>ainepunkti (edaspidi</w:t>
      </w:r>
      <w:r w:rsidR="00314DD1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i/>
          <w:sz w:val="22"/>
          <w:szCs w:val="22"/>
        </w:rPr>
        <w:t>EAP</w:t>
      </w:r>
      <w:r w:rsidR="00314DD1" w:rsidRPr="00F66987">
        <w:rPr>
          <w:rFonts w:asciiTheme="minorHAnsi" w:hAnsiTheme="minorHAnsi"/>
          <w:sz w:val="22"/>
          <w:szCs w:val="22"/>
        </w:rPr>
        <w:t>)</w:t>
      </w:r>
      <w:r w:rsidRPr="00F66987">
        <w:rPr>
          <w:rFonts w:asciiTheme="minorHAnsi" w:hAnsiTheme="minorHAnsi"/>
          <w:sz w:val="22"/>
          <w:szCs w:val="22"/>
        </w:rPr>
        <w:t>;</w:t>
      </w:r>
      <w:r w:rsidR="00FE2A97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rakenduskõrgharidusõppe nominaalkestus on kolm kuni neli aastat, õppe maht 180 kuni 240 EAP</w:t>
      </w:r>
      <w:r w:rsidR="000F2A6B" w:rsidRPr="00F66987">
        <w:rPr>
          <w:rFonts w:asciiTheme="minorHAnsi" w:hAnsiTheme="minorHAnsi"/>
          <w:sz w:val="22"/>
          <w:szCs w:val="22"/>
        </w:rPr>
        <w:t>-d</w:t>
      </w:r>
      <w:r w:rsidRPr="00F66987">
        <w:rPr>
          <w:rFonts w:asciiTheme="minorHAnsi" w:hAnsiTheme="minorHAnsi"/>
          <w:sz w:val="22"/>
          <w:szCs w:val="22"/>
        </w:rPr>
        <w:t xml:space="preserve">; </w:t>
      </w:r>
    </w:p>
    <w:p w14:paraId="377921C4" w14:textId="77777777" w:rsidR="00860941" w:rsidRPr="00F66987" w:rsidRDefault="00860941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integreeritud  õppe nominaalkestus on viis aastat ja õppe maht 300 EAP</w:t>
      </w:r>
      <w:r w:rsidR="000F2A6B" w:rsidRPr="00F66987">
        <w:rPr>
          <w:rFonts w:asciiTheme="minorHAnsi" w:hAnsiTheme="minorHAnsi"/>
          <w:sz w:val="22"/>
          <w:szCs w:val="22"/>
        </w:rPr>
        <w:t>-d</w:t>
      </w:r>
      <w:r w:rsidRPr="00F66987">
        <w:rPr>
          <w:rFonts w:asciiTheme="minorHAnsi" w:hAnsiTheme="minorHAnsi"/>
          <w:sz w:val="22"/>
          <w:szCs w:val="22"/>
        </w:rPr>
        <w:t>;</w:t>
      </w:r>
    </w:p>
    <w:p w14:paraId="3D113B36" w14:textId="77777777" w:rsidR="00860941" w:rsidRPr="00F66987" w:rsidRDefault="00961469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magistriõppe õppekava nominaalkestus on üks kuni kaks õppeaastat ja õppe maht 60 kuni 120   EAP</w:t>
      </w:r>
      <w:r w:rsidRPr="00F66987">
        <w:rPr>
          <w:rFonts w:asciiTheme="minorHAnsi" w:hAnsiTheme="minorHAnsi"/>
          <w:sz w:val="22"/>
          <w:szCs w:val="22"/>
        </w:rPr>
        <w:noBreakHyphen/>
        <w:t>d</w:t>
      </w:r>
      <w:r w:rsidR="00860941" w:rsidRPr="00F66987">
        <w:rPr>
          <w:rFonts w:asciiTheme="minorHAnsi" w:hAnsiTheme="minorHAnsi"/>
          <w:sz w:val="22"/>
          <w:szCs w:val="22"/>
        </w:rPr>
        <w:t>;</w:t>
      </w:r>
      <w:r w:rsidRPr="00F66987">
        <w:rPr>
          <w:rFonts w:asciiTheme="minorHAnsi" w:hAnsiTheme="minorHAnsi"/>
          <w:sz w:val="22"/>
          <w:szCs w:val="22"/>
        </w:rPr>
        <w:t xml:space="preserve"> [jõustunud 20.02.2020]</w:t>
      </w:r>
    </w:p>
    <w:p w14:paraId="59196CBE" w14:textId="6475DC8C" w:rsidR="00860941" w:rsidRPr="00F66987" w:rsidRDefault="00855BA9" w:rsidP="00855BA9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doktoriõppe nominaalkestus on neli aastat, mis teeb õppe mahuks arvestuslikult 6240 tundi</w:t>
      </w:r>
      <w:r w:rsidR="00860941" w:rsidRPr="00F66987">
        <w:rPr>
          <w:rFonts w:asciiTheme="minorHAnsi" w:hAnsiTheme="minorHAnsi"/>
          <w:sz w:val="22"/>
          <w:szCs w:val="22"/>
        </w:rPr>
        <w:t>.</w:t>
      </w:r>
      <w:r w:rsidR="009E78D3" w:rsidRPr="00F66987">
        <w:rPr>
          <w:rFonts w:asciiTheme="minorHAnsi" w:hAnsiTheme="minorHAnsi"/>
          <w:sz w:val="22"/>
          <w:szCs w:val="22"/>
        </w:rPr>
        <w:t xml:space="preserve"> [jõustunud 23</w:t>
      </w:r>
      <w:r w:rsidRPr="00F66987">
        <w:rPr>
          <w:rFonts w:asciiTheme="minorHAnsi" w:hAnsiTheme="minorHAnsi"/>
          <w:sz w:val="22"/>
          <w:szCs w:val="22"/>
        </w:rPr>
        <w:t>.05.2021]</w:t>
      </w:r>
    </w:p>
    <w:p w14:paraId="3F6DA4F7" w14:textId="77777777" w:rsidR="00066EE8" w:rsidRPr="00F66987" w:rsidRDefault="00066EE8" w:rsidP="0091686A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Õppeaine maht</w:t>
      </w:r>
    </w:p>
    <w:p w14:paraId="6C5E7FCE" w14:textId="77777777" w:rsidR="00AA5757" w:rsidRPr="00F66987" w:rsidRDefault="00585E32" w:rsidP="00725419">
      <w:pPr>
        <w:pStyle w:val="Bodym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Õppeaine maht on üldjuhul 6, 9 ja 12 EAP-</w:t>
      </w:r>
      <w:proofErr w:type="spellStart"/>
      <w:r w:rsidRPr="00F66987">
        <w:rPr>
          <w:rFonts w:asciiTheme="minorHAnsi" w:hAnsiTheme="minorHAnsi"/>
          <w:sz w:val="22"/>
          <w:szCs w:val="22"/>
        </w:rPr>
        <w:t>d.</w:t>
      </w:r>
      <w:proofErr w:type="spellEnd"/>
      <w:r w:rsidR="00066EE8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[jõustunud 21.11.2017]</w:t>
      </w:r>
    </w:p>
    <w:p w14:paraId="0059E725" w14:textId="77777777" w:rsidR="00F535CA" w:rsidRPr="00F66987" w:rsidRDefault="00F535CA" w:rsidP="00F535CA">
      <w:pPr>
        <w:pStyle w:val="Heading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br/>
        <w:t xml:space="preserve">BAKALAUREUSE-, RAKENDUSKÕRGHARIDUS-, </w:t>
      </w:r>
      <w:r w:rsidR="00FE2A97" w:rsidRPr="00F66987">
        <w:rPr>
          <w:rFonts w:asciiTheme="minorHAnsi" w:hAnsiTheme="minorHAnsi"/>
          <w:sz w:val="22"/>
          <w:szCs w:val="22"/>
        </w:rPr>
        <w:br/>
      </w:r>
      <w:r w:rsidRPr="00F66987">
        <w:rPr>
          <w:rFonts w:asciiTheme="minorHAnsi" w:hAnsiTheme="minorHAnsi"/>
          <w:sz w:val="22"/>
          <w:szCs w:val="22"/>
        </w:rPr>
        <w:t>MAGISTRI- JA INTEGREERITUD ÕPPE ÕPPEKAVA</w:t>
      </w:r>
    </w:p>
    <w:p w14:paraId="140519BC" w14:textId="77777777" w:rsidR="00370D9C" w:rsidRPr="00F66987" w:rsidRDefault="00370D9C" w:rsidP="00833F64">
      <w:pPr>
        <w:pStyle w:val="Loetelum"/>
        <w:numPr>
          <w:ilvl w:val="0"/>
          <w:numId w:val="4"/>
        </w:numPr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iCs/>
          <w:sz w:val="22"/>
          <w:szCs w:val="22"/>
        </w:rPr>
        <w:t xml:space="preserve">Bakalaureuse-, </w:t>
      </w:r>
      <w:r w:rsidRPr="00F66987">
        <w:rPr>
          <w:rFonts w:asciiTheme="minorHAnsi" w:hAnsiTheme="minorHAnsi"/>
          <w:sz w:val="22"/>
          <w:szCs w:val="22"/>
        </w:rPr>
        <w:t>rakenduskõrgharidus</w:t>
      </w:r>
      <w:r w:rsidRPr="00F66987">
        <w:rPr>
          <w:rFonts w:asciiTheme="minorHAnsi" w:hAnsiTheme="minorHAnsi"/>
          <w:iCs/>
          <w:sz w:val="22"/>
          <w:szCs w:val="22"/>
        </w:rPr>
        <w:t xml:space="preserve">-, magistri - ja integreeritud õppe </w:t>
      </w:r>
      <w:r w:rsidR="00F536C7" w:rsidRPr="00F66987">
        <w:rPr>
          <w:rFonts w:asciiTheme="minorHAnsi" w:hAnsiTheme="minorHAnsi"/>
          <w:iCs/>
          <w:sz w:val="22"/>
          <w:szCs w:val="22"/>
        </w:rPr>
        <w:t>õppekavadele esitatavad nõuded</w:t>
      </w:r>
    </w:p>
    <w:p w14:paraId="22B909FB" w14:textId="77777777" w:rsidR="004B4537" w:rsidRPr="00F66987" w:rsidRDefault="004B4537" w:rsidP="008455E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osad</w:t>
      </w:r>
      <w:r w:rsidR="00066EE8" w:rsidRPr="00F66987">
        <w:rPr>
          <w:rFonts w:asciiTheme="minorHAnsi" w:hAnsiTheme="minorHAnsi"/>
          <w:sz w:val="22"/>
          <w:szCs w:val="22"/>
        </w:rPr>
        <w:t xml:space="preserve"> on</w:t>
      </w:r>
      <w:r w:rsidR="006C748B" w:rsidRPr="00F66987">
        <w:rPr>
          <w:rFonts w:asciiTheme="minorHAnsi" w:hAnsiTheme="minorHAnsi"/>
          <w:sz w:val="22"/>
          <w:szCs w:val="22"/>
        </w:rPr>
        <w:t>:</w:t>
      </w:r>
    </w:p>
    <w:p w14:paraId="2FC0AB5F" w14:textId="77777777" w:rsidR="004B4537" w:rsidRPr="00F66987" w:rsidRDefault="004B4537" w:rsidP="00945594">
      <w:pPr>
        <w:pStyle w:val="Bodym1"/>
        <w:rPr>
          <w:rFonts w:asciiTheme="minorHAnsi" w:hAnsiTheme="minorHAnsi"/>
          <w:sz w:val="22"/>
          <w:szCs w:val="22"/>
        </w:rPr>
      </w:pPr>
      <w:proofErr w:type="spellStart"/>
      <w:r w:rsidRPr="00F66987">
        <w:rPr>
          <w:rFonts w:asciiTheme="minorHAnsi" w:hAnsiTheme="minorHAnsi"/>
          <w:sz w:val="22"/>
          <w:szCs w:val="22"/>
        </w:rPr>
        <w:t>üldõpe</w:t>
      </w:r>
      <w:proofErr w:type="spellEnd"/>
      <w:r w:rsidRPr="00F66987">
        <w:rPr>
          <w:rFonts w:asciiTheme="minorHAnsi" w:hAnsiTheme="minorHAnsi"/>
          <w:sz w:val="22"/>
          <w:szCs w:val="22"/>
        </w:rPr>
        <w:t xml:space="preserve"> (</w:t>
      </w:r>
      <w:r w:rsidRPr="00F66987">
        <w:rPr>
          <w:rFonts w:asciiTheme="minorHAnsi" w:hAnsiTheme="minorHAnsi"/>
          <w:i/>
          <w:sz w:val="22"/>
          <w:szCs w:val="22"/>
          <w:lang w:val="en-GB"/>
        </w:rPr>
        <w:t>general studies</w:t>
      </w:r>
      <w:r w:rsidRPr="00F66987">
        <w:rPr>
          <w:rFonts w:asciiTheme="minorHAnsi" w:hAnsiTheme="minorHAnsi"/>
          <w:sz w:val="22"/>
          <w:szCs w:val="22"/>
        </w:rPr>
        <w:t>) – õppekava osa, mille eesmär</w:t>
      </w:r>
      <w:r w:rsidR="00420A71" w:rsidRPr="00F66987">
        <w:rPr>
          <w:rFonts w:asciiTheme="minorHAnsi" w:hAnsiTheme="minorHAnsi"/>
          <w:sz w:val="22"/>
          <w:szCs w:val="22"/>
        </w:rPr>
        <w:t>k</w:t>
      </w:r>
      <w:r w:rsidRPr="00F66987">
        <w:rPr>
          <w:rFonts w:asciiTheme="minorHAnsi" w:hAnsiTheme="minorHAnsi"/>
          <w:sz w:val="22"/>
          <w:szCs w:val="22"/>
        </w:rPr>
        <w:t xml:space="preserve"> on üldhariduslike teadmiste ja oskuste arendamine;</w:t>
      </w:r>
    </w:p>
    <w:p w14:paraId="0D7B289E" w14:textId="77777777" w:rsidR="004B4537" w:rsidRPr="00F66987" w:rsidRDefault="004B4537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põhiõpe (</w:t>
      </w:r>
      <w:proofErr w:type="spellStart"/>
      <w:r w:rsidR="00F75680" w:rsidRPr="00F66987">
        <w:rPr>
          <w:rFonts w:asciiTheme="minorHAnsi" w:hAnsiTheme="minorHAnsi"/>
          <w:i/>
          <w:sz w:val="22"/>
          <w:szCs w:val="22"/>
        </w:rPr>
        <w:t>core</w:t>
      </w:r>
      <w:proofErr w:type="spellEnd"/>
      <w:r w:rsidR="00F75680" w:rsidRPr="00F6698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studies</w:t>
      </w:r>
      <w:proofErr w:type="spellEnd"/>
      <w:r w:rsidR="00FE2A97" w:rsidRPr="00F66987">
        <w:rPr>
          <w:rFonts w:asciiTheme="minorHAnsi" w:hAnsiTheme="minorHAnsi"/>
          <w:sz w:val="22"/>
          <w:szCs w:val="22"/>
        </w:rPr>
        <w:t>)</w:t>
      </w:r>
      <w:r w:rsidRPr="00F66987">
        <w:rPr>
          <w:rFonts w:asciiTheme="minorHAnsi" w:hAnsiTheme="minorHAnsi"/>
          <w:sz w:val="22"/>
          <w:szCs w:val="22"/>
        </w:rPr>
        <w:t xml:space="preserve"> – õppekava osa, mille eesmär</w:t>
      </w:r>
      <w:r w:rsidR="00420A71" w:rsidRPr="00F66987">
        <w:rPr>
          <w:rFonts w:asciiTheme="minorHAnsi" w:hAnsiTheme="minorHAnsi"/>
          <w:sz w:val="22"/>
          <w:szCs w:val="22"/>
        </w:rPr>
        <w:t>k</w:t>
      </w:r>
      <w:r w:rsidR="00516D73" w:rsidRPr="00F66987">
        <w:rPr>
          <w:rFonts w:asciiTheme="minorHAnsi" w:hAnsiTheme="minorHAnsi"/>
          <w:sz w:val="22"/>
          <w:szCs w:val="22"/>
        </w:rPr>
        <w:t xml:space="preserve"> on</w:t>
      </w:r>
      <w:r w:rsidRPr="00F66987">
        <w:rPr>
          <w:rFonts w:asciiTheme="minorHAnsi" w:hAnsiTheme="minorHAnsi"/>
          <w:sz w:val="22"/>
          <w:szCs w:val="22"/>
        </w:rPr>
        <w:t xml:space="preserve"> õppevaldkondliku ja õppesuuna põhise spetsiifilise baashariduse omandamine;</w:t>
      </w:r>
    </w:p>
    <w:p w14:paraId="48D1E55A" w14:textId="77777777" w:rsidR="004B4537" w:rsidRPr="00F66987" w:rsidRDefault="004B4537" w:rsidP="00945594">
      <w:pPr>
        <w:pStyle w:val="Bodym1"/>
        <w:rPr>
          <w:rFonts w:asciiTheme="minorHAnsi" w:hAnsiTheme="minorHAnsi"/>
          <w:sz w:val="22"/>
          <w:szCs w:val="22"/>
        </w:rPr>
      </w:pPr>
      <w:proofErr w:type="spellStart"/>
      <w:r w:rsidRPr="00F66987">
        <w:rPr>
          <w:rFonts w:asciiTheme="minorHAnsi" w:hAnsiTheme="minorHAnsi"/>
          <w:sz w:val="22"/>
          <w:szCs w:val="22"/>
        </w:rPr>
        <w:t>eriõpe</w:t>
      </w:r>
      <w:proofErr w:type="spellEnd"/>
      <w:r w:rsidR="00066EE8" w:rsidRPr="00F66987">
        <w:rPr>
          <w:rFonts w:asciiTheme="minorHAnsi" w:hAnsiTheme="minorHAnsi"/>
          <w:sz w:val="22"/>
          <w:szCs w:val="22"/>
        </w:rPr>
        <w:t xml:space="preserve"> sh praktika</w:t>
      </w:r>
      <w:r w:rsidRPr="00F6698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special</w:t>
      </w:r>
      <w:proofErr w:type="spellEnd"/>
      <w:r w:rsidRPr="00F6698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studies</w:t>
      </w:r>
      <w:proofErr w:type="spellEnd"/>
      <w:r w:rsidR="00066EE8" w:rsidRPr="00F6698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66EE8" w:rsidRPr="00F66987">
        <w:rPr>
          <w:rFonts w:asciiTheme="minorHAnsi" w:hAnsiTheme="minorHAnsi"/>
          <w:i/>
          <w:sz w:val="22"/>
          <w:szCs w:val="22"/>
        </w:rPr>
        <w:t>incl</w:t>
      </w:r>
      <w:proofErr w:type="spellEnd"/>
      <w:r w:rsidR="00066EE8" w:rsidRPr="00F6698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66EE8" w:rsidRPr="00F66987">
        <w:rPr>
          <w:rFonts w:asciiTheme="minorHAnsi" w:hAnsiTheme="minorHAnsi"/>
          <w:i/>
          <w:sz w:val="22"/>
          <w:szCs w:val="22"/>
        </w:rPr>
        <w:t>internship</w:t>
      </w:r>
      <w:proofErr w:type="spellEnd"/>
      <w:r w:rsidRPr="00F66987">
        <w:rPr>
          <w:rFonts w:asciiTheme="minorHAnsi" w:hAnsiTheme="minorHAnsi"/>
          <w:sz w:val="22"/>
          <w:szCs w:val="22"/>
        </w:rPr>
        <w:t>) – õppekava osa, mille eesmär</w:t>
      </w:r>
      <w:r w:rsidR="00FA6C82" w:rsidRPr="00F66987">
        <w:rPr>
          <w:rFonts w:asciiTheme="minorHAnsi" w:hAnsiTheme="minorHAnsi"/>
          <w:sz w:val="22"/>
          <w:szCs w:val="22"/>
        </w:rPr>
        <w:t>k</w:t>
      </w:r>
      <w:r w:rsidRPr="00F66987">
        <w:rPr>
          <w:rFonts w:asciiTheme="minorHAnsi" w:hAnsiTheme="minorHAnsi"/>
          <w:sz w:val="22"/>
          <w:szCs w:val="22"/>
        </w:rPr>
        <w:t xml:space="preserve"> on õppekavas kirjeldatud erialaga otseselt seotud teadmiste ja oskuste omandamine tööle asumiseks ning õpingute jätkamiseks järgmisel õppeastmel</w:t>
      </w:r>
      <w:r w:rsidR="00FA6C82" w:rsidRPr="00F66987">
        <w:rPr>
          <w:rFonts w:asciiTheme="minorHAnsi" w:hAnsiTheme="minorHAnsi"/>
          <w:sz w:val="22"/>
          <w:szCs w:val="22"/>
        </w:rPr>
        <w:t>;</w:t>
      </w:r>
      <w:r w:rsidRPr="00F66987">
        <w:rPr>
          <w:rFonts w:asciiTheme="minorHAnsi" w:hAnsiTheme="minorHAnsi"/>
          <w:sz w:val="22"/>
          <w:szCs w:val="22"/>
        </w:rPr>
        <w:t xml:space="preserve"> </w:t>
      </w:r>
    </w:p>
    <w:p w14:paraId="37589120" w14:textId="77777777" w:rsidR="004B4537" w:rsidRPr="00F66987" w:rsidRDefault="004B4537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vabaõpe (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free</w:t>
      </w:r>
      <w:proofErr w:type="spellEnd"/>
      <w:r w:rsidRPr="00F6698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choice</w:t>
      </w:r>
      <w:proofErr w:type="spellEnd"/>
      <w:r w:rsidRPr="00F6698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66987">
        <w:rPr>
          <w:rFonts w:asciiTheme="minorHAnsi" w:hAnsiTheme="minorHAnsi"/>
          <w:i/>
          <w:sz w:val="22"/>
          <w:szCs w:val="22"/>
        </w:rPr>
        <w:t>studies</w:t>
      </w:r>
      <w:proofErr w:type="spellEnd"/>
      <w:r w:rsidRPr="00F66987">
        <w:rPr>
          <w:rFonts w:asciiTheme="minorHAnsi" w:hAnsiTheme="minorHAnsi"/>
          <w:sz w:val="22"/>
          <w:szCs w:val="22"/>
        </w:rPr>
        <w:t>) – õppekava osa, mille eesmär</w:t>
      </w:r>
      <w:r w:rsidR="00FA6C82" w:rsidRPr="00F66987">
        <w:rPr>
          <w:rFonts w:asciiTheme="minorHAnsi" w:hAnsiTheme="minorHAnsi"/>
          <w:sz w:val="22"/>
          <w:szCs w:val="22"/>
        </w:rPr>
        <w:t>k</w:t>
      </w:r>
      <w:r w:rsidRPr="00F66987">
        <w:rPr>
          <w:rFonts w:asciiTheme="minorHAnsi" w:hAnsiTheme="minorHAnsi"/>
          <w:sz w:val="22"/>
          <w:szCs w:val="22"/>
        </w:rPr>
        <w:t xml:space="preserve"> on õppija </w:t>
      </w:r>
      <w:r w:rsidR="00FA6C82" w:rsidRPr="00F66987">
        <w:rPr>
          <w:rFonts w:asciiTheme="minorHAnsi" w:hAnsiTheme="minorHAnsi"/>
          <w:sz w:val="22"/>
          <w:szCs w:val="22"/>
        </w:rPr>
        <w:t xml:space="preserve">vabal </w:t>
      </w:r>
      <w:r w:rsidRPr="00F66987">
        <w:rPr>
          <w:rFonts w:asciiTheme="minorHAnsi" w:hAnsiTheme="minorHAnsi"/>
          <w:sz w:val="22"/>
          <w:szCs w:val="22"/>
        </w:rPr>
        <w:t>valikul õppekavasse mit</w:t>
      </w:r>
      <w:r w:rsidR="001F3B7D" w:rsidRPr="00F66987">
        <w:rPr>
          <w:rFonts w:asciiTheme="minorHAnsi" w:hAnsiTheme="minorHAnsi"/>
          <w:sz w:val="22"/>
          <w:szCs w:val="22"/>
        </w:rPr>
        <w:t xml:space="preserve">tekuuluvate </w:t>
      </w:r>
      <w:r w:rsidR="00FA6C82" w:rsidRPr="00F66987">
        <w:rPr>
          <w:rFonts w:asciiTheme="minorHAnsi" w:hAnsiTheme="minorHAnsi"/>
          <w:sz w:val="22"/>
          <w:szCs w:val="22"/>
        </w:rPr>
        <w:t>õppe</w:t>
      </w:r>
      <w:r w:rsidR="001F3B7D" w:rsidRPr="00F66987">
        <w:rPr>
          <w:rFonts w:asciiTheme="minorHAnsi" w:hAnsiTheme="minorHAnsi"/>
          <w:sz w:val="22"/>
          <w:szCs w:val="22"/>
        </w:rPr>
        <w:t>ainete</w:t>
      </w:r>
      <w:r w:rsidR="00FA6C82" w:rsidRPr="00F66987">
        <w:rPr>
          <w:rFonts w:asciiTheme="minorHAnsi" w:hAnsiTheme="minorHAnsi"/>
          <w:sz w:val="22"/>
          <w:szCs w:val="22"/>
        </w:rPr>
        <w:t xml:space="preserve"> põhjal</w:t>
      </w:r>
      <w:r w:rsidR="001F3B7D" w:rsidRPr="00F66987">
        <w:rPr>
          <w:rFonts w:asciiTheme="minorHAnsi" w:hAnsiTheme="minorHAnsi"/>
          <w:sz w:val="22"/>
          <w:szCs w:val="22"/>
        </w:rPr>
        <w:t xml:space="preserve"> teadmiste ja oskuste</w:t>
      </w:r>
      <w:r w:rsidRPr="00F66987">
        <w:rPr>
          <w:rFonts w:asciiTheme="minorHAnsi" w:hAnsiTheme="minorHAnsi"/>
          <w:sz w:val="22"/>
          <w:szCs w:val="22"/>
        </w:rPr>
        <w:t xml:space="preserve"> omandamine</w:t>
      </w:r>
      <w:r w:rsidR="00916CEC" w:rsidRPr="00F66987">
        <w:rPr>
          <w:rFonts w:asciiTheme="minorHAnsi" w:hAnsiTheme="minorHAnsi"/>
          <w:sz w:val="22"/>
          <w:szCs w:val="22"/>
        </w:rPr>
        <w:t>;</w:t>
      </w:r>
    </w:p>
    <w:p w14:paraId="5BC453E3" w14:textId="77777777" w:rsidR="00916CEC" w:rsidRPr="00F66987" w:rsidRDefault="00916CEC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lõputöö või -eksamid.</w:t>
      </w:r>
    </w:p>
    <w:p w14:paraId="15D30E73" w14:textId="77777777" w:rsidR="002D1EF3" w:rsidRPr="00F66987" w:rsidRDefault="00EB630B" w:rsidP="00FE2A97">
      <w:pPr>
        <w:pStyle w:val="Bodym"/>
        <w:keepNext/>
        <w:keepLines/>
        <w:spacing w:after="4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lastRenderedPageBreak/>
        <w:t>Õppekava osade m</w:t>
      </w:r>
      <w:r w:rsidR="00820BF4" w:rsidRPr="00F66987">
        <w:rPr>
          <w:rFonts w:asciiTheme="minorHAnsi" w:hAnsiTheme="minorHAnsi"/>
          <w:sz w:val="22"/>
          <w:szCs w:val="22"/>
        </w:rPr>
        <w:t>iinimu</w:t>
      </w:r>
      <w:r w:rsidR="001F3B7D" w:rsidRPr="00F66987">
        <w:rPr>
          <w:rFonts w:asciiTheme="minorHAnsi" w:hAnsiTheme="minorHAnsi"/>
          <w:sz w:val="22"/>
          <w:szCs w:val="22"/>
        </w:rPr>
        <w:t>m</w:t>
      </w:r>
      <w:r w:rsidR="00820BF4" w:rsidRPr="00F66987">
        <w:rPr>
          <w:rFonts w:asciiTheme="minorHAnsi" w:hAnsiTheme="minorHAnsi"/>
          <w:sz w:val="22"/>
          <w:szCs w:val="22"/>
        </w:rPr>
        <w:t>m</w:t>
      </w:r>
      <w:r w:rsidR="00370D9C" w:rsidRPr="00F66987">
        <w:rPr>
          <w:rFonts w:asciiTheme="minorHAnsi" w:hAnsiTheme="minorHAnsi"/>
          <w:sz w:val="22"/>
          <w:szCs w:val="22"/>
        </w:rPr>
        <w:t xml:space="preserve">ahud </w:t>
      </w:r>
      <w:r w:rsidR="00820BF4" w:rsidRPr="00F66987">
        <w:rPr>
          <w:rFonts w:asciiTheme="minorHAnsi" w:hAnsiTheme="minorHAnsi"/>
          <w:sz w:val="22"/>
          <w:szCs w:val="22"/>
        </w:rPr>
        <w:t>(EAP)</w:t>
      </w:r>
      <w:r w:rsidR="00833F64" w:rsidRPr="00F66987">
        <w:rPr>
          <w:rFonts w:asciiTheme="minorHAnsi" w:hAnsiTheme="minorHAnsi"/>
          <w:sz w:val="22"/>
          <w:szCs w:val="22"/>
        </w:rPr>
        <w:t>:</w:t>
      </w:r>
      <w:r w:rsidR="00585E32" w:rsidRPr="00F66987">
        <w:rPr>
          <w:rFonts w:asciiTheme="minorHAnsi" w:hAnsiTheme="minorHAnsi"/>
          <w:sz w:val="22"/>
          <w:szCs w:val="22"/>
        </w:rPr>
        <w:t xml:space="preserve"> [jõustunud 21.11.2017]</w:t>
      </w:r>
    </w:p>
    <w:tbl>
      <w:tblPr>
        <w:tblW w:w="914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984"/>
        <w:gridCol w:w="1701"/>
        <w:gridCol w:w="1892"/>
        <w:gridCol w:w="1513"/>
      </w:tblGrid>
      <w:tr w:rsidR="00F66987" w:rsidRPr="00F66987" w14:paraId="53277FB5" w14:textId="77777777" w:rsidTr="00A85717">
        <w:trPr>
          <w:cantSplit/>
          <w:trHeight w:val="600"/>
        </w:trPr>
        <w:tc>
          <w:tcPr>
            <w:tcW w:w="205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33B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  <w:t>Õppekava osa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2EC3C7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  <w:t>Bakalaureuseõpe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97EDD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  <w:t>Magistriõpe*</w:t>
            </w:r>
          </w:p>
        </w:tc>
        <w:tc>
          <w:tcPr>
            <w:tcW w:w="189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24A866" w14:textId="77777777" w:rsidR="00585E32" w:rsidRPr="00F66987" w:rsidRDefault="00585E32" w:rsidP="00585E32">
            <w:pPr>
              <w:keepNext/>
              <w:keepLines/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  <w:t>Rakendus-kõrgharidusõpe</w:t>
            </w:r>
          </w:p>
        </w:tc>
        <w:tc>
          <w:tcPr>
            <w:tcW w:w="151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5D08CC" w14:textId="77777777" w:rsidR="00585E32" w:rsidRPr="00F66987" w:rsidRDefault="00585E32" w:rsidP="00585E32">
            <w:pPr>
              <w:keepNext/>
              <w:keepLines/>
              <w:spacing w:line="26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/>
                <w:bCs/>
                <w:sz w:val="22"/>
                <w:szCs w:val="22"/>
                <w:lang w:eastAsia="et-EE"/>
              </w:rPr>
              <w:t>Integreeritud õpe</w:t>
            </w:r>
          </w:p>
        </w:tc>
      </w:tr>
      <w:tr w:rsidR="00F66987" w:rsidRPr="00F66987" w14:paraId="0FDB4817" w14:textId="77777777" w:rsidTr="00A85717">
        <w:trPr>
          <w:cantSplit/>
          <w:trHeight w:val="300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D5B1780" w14:textId="77777777" w:rsidR="00585E32" w:rsidRPr="00F66987" w:rsidRDefault="00585E32" w:rsidP="00585E32">
            <w:pPr>
              <w:keepNext/>
              <w:keepLines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proofErr w:type="spellStart"/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Üldõpe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A14DB0" w14:textId="77777777" w:rsidR="00585E32" w:rsidRPr="00F66987" w:rsidRDefault="00585E32" w:rsidP="00585E32">
            <w:pPr>
              <w:keepNext/>
              <w:keepLines/>
              <w:tabs>
                <w:tab w:val="decimal" w:pos="1024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2E17A7" w14:textId="77777777" w:rsidR="00585E32" w:rsidRPr="00F66987" w:rsidRDefault="00585E32" w:rsidP="00585E32">
            <w:pPr>
              <w:keepNext/>
              <w:keepLines/>
              <w:tabs>
                <w:tab w:val="decimal" w:pos="829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4E3CC8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7E99B4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24</w:t>
            </w:r>
          </w:p>
        </w:tc>
      </w:tr>
      <w:tr w:rsidR="00F66987" w:rsidRPr="00F66987" w14:paraId="65D123BE" w14:textId="77777777" w:rsidTr="00A85717">
        <w:trPr>
          <w:cantSplit/>
          <w:trHeight w:val="65"/>
        </w:trPr>
        <w:tc>
          <w:tcPr>
            <w:tcW w:w="2052" w:type="dxa"/>
            <w:shd w:val="clear" w:color="auto" w:fill="auto"/>
            <w:vAlign w:val="bottom"/>
            <w:hideMark/>
          </w:tcPr>
          <w:p w14:paraId="6A694895" w14:textId="77777777" w:rsidR="00585E32" w:rsidRPr="00F66987" w:rsidRDefault="00585E32" w:rsidP="00585E32">
            <w:pPr>
              <w:keepNext/>
              <w:keepLines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 xml:space="preserve">Põhiõpe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127F1A" w14:textId="77777777" w:rsidR="00585E32" w:rsidRPr="00F66987" w:rsidRDefault="00585E32" w:rsidP="00585E32">
            <w:pPr>
              <w:keepNext/>
              <w:keepLines/>
              <w:tabs>
                <w:tab w:val="decimal" w:pos="1024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A2F5C4" w14:textId="77777777" w:rsidR="00585E32" w:rsidRPr="00F66987" w:rsidRDefault="00585E32" w:rsidP="00585E32">
            <w:pPr>
              <w:keepNext/>
              <w:keepLines/>
              <w:tabs>
                <w:tab w:val="decimal" w:pos="829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18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ABB3A90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48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BC2A8C4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78</w:t>
            </w:r>
          </w:p>
        </w:tc>
      </w:tr>
      <w:tr w:rsidR="00F66987" w:rsidRPr="00F66987" w14:paraId="3420D5EE" w14:textId="77777777" w:rsidTr="00A85717">
        <w:trPr>
          <w:cantSplit/>
          <w:trHeight w:val="65"/>
        </w:trPr>
        <w:tc>
          <w:tcPr>
            <w:tcW w:w="2052" w:type="dxa"/>
            <w:tcBorders>
              <w:bottom w:val="single" w:sz="6" w:space="0" w:color="D9D9D9"/>
            </w:tcBorders>
            <w:shd w:val="clear" w:color="auto" w:fill="auto"/>
            <w:vAlign w:val="bottom"/>
            <w:hideMark/>
          </w:tcPr>
          <w:p w14:paraId="2355273D" w14:textId="77777777" w:rsidR="00585E32" w:rsidRPr="00F66987" w:rsidRDefault="00585E32" w:rsidP="00585E32">
            <w:pPr>
              <w:keepNext/>
              <w:keepLines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proofErr w:type="spellStart"/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Eriõpe</w:t>
            </w:r>
            <w:proofErr w:type="spellEnd"/>
          </w:p>
        </w:tc>
        <w:tc>
          <w:tcPr>
            <w:tcW w:w="1984" w:type="dxa"/>
            <w:tcBorders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14:paraId="14CF0244" w14:textId="77777777" w:rsidR="00585E32" w:rsidRPr="00F66987" w:rsidRDefault="00585E32" w:rsidP="00585E32">
            <w:pPr>
              <w:keepNext/>
              <w:keepLines/>
              <w:tabs>
                <w:tab w:val="decimal" w:pos="1024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24</w:t>
            </w:r>
          </w:p>
        </w:tc>
        <w:tc>
          <w:tcPr>
            <w:tcW w:w="1701" w:type="dxa"/>
            <w:tcBorders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14:paraId="64969988" w14:textId="77777777" w:rsidR="00585E32" w:rsidRPr="00F66987" w:rsidRDefault="00585E32" w:rsidP="00585E32">
            <w:pPr>
              <w:keepNext/>
              <w:keepLines/>
              <w:tabs>
                <w:tab w:val="decimal" w:pos="829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36</w:t>
            </w:r>
          </w:p>
        </w:tc>
        <w:tc>
          <w:tcPr>
            <w:tcW w:w="1892" w:type="dxa"/>
            <w:tcBorders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14:paraId="008CE468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57−66</w:t>
            </w:r>
          </w:p>
        </w:tc>
        <w:tc>
          <w:tcPr>
            <w:tcW w:w="1513" w:type="dxa"/>
            <w:tcBorders>
              <w:bottom w:val="single" w:sz="6" w:space="0" w:color="D9D9D9"/>
            </w:tcBorders>
            <w:shd w:val="clear" w:color="auto" w:fill="auto"/>
            <w:noWrap/>
            <w:vAlign w:val="center"/>
            <w:hideMark/>
          </w:tcPr>
          <w:p w14:paraId="38230FC5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60</w:t>
            </w:r>
          </w:p>
        </w:tc>
      </w:tr>
      <w:tr w:rsidR="00F66987" w:rsidRPr="00F66987" w14:paraId="7BF15858" w14:textId="77777777" w:rsidTr="00A85717">
        <w:trPr>
          <w:cantSplit/>
          <w:trHeight w:val="171"/>
        </w:trPr>
        <w:tc>
          <w:tcPr>
            <w:tcW w:w="2052" w:type="dxa"/>
            <w:tcBorders>
              <w:top w:val="single" w:sz="6" w:space="0" w:color="D9D9D9"/>
              <w:bottom w:val="single" w:sz="6" w:space="0" w:color="808080"/>
            </w:tcBorders>
            <w:shd w:val="clear" w:color="auto" w:fill="auto"/>
            <w:vAlign w:val="bottom"/>
            <w:hideMark/>
          </w:tcPr>
          <w:p w14:paraId="6ABBD6D6" w14:textId="77777777" w:rsidR="00585E32" w:rsidRPr="00F66987" w:rsidRDefault="00585E32" w:rsidP="00585E32">
            <w:pPr>
              <w:keepNext/>
              <w:keepLines/>
              <w:ind w:left="214"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sh praktika</w:t>
            </w:r>
          </w:p>
        </w:tc>
        <w:tc>
          <w:tcPr>
            <w:tcW w:w="1984" w:type="dxa"/>
            <w:tcBorders>
              <w:top w:val="single" w:sz="6" w:space="0" w:color="D9D9D9"/>
              <w:bottom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432DC59B" w14:textId="77777777" w:rsidR="00585E32" w:rsidRPr="00F66987" w:rsidRDefault="00585E32" w:rsidP="00585E32">
            <w:pPr>
              <w:keepNext/>
              <w:keepLines/>
              <w:tabs>
                <w:tab w:val="decimal" w:pos="1024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single" w:sz="6" w:space="0" w:color="D9D9D9"/>
              <w:bottom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4E029A6F" w14:textId="77777777" w:rsidR="00585E32" w:rsidRPr="00F66987" w:rsidRDefault="00585E32" w:rsidP="00585E32">
            <w:pPr>
              <w:keepNext/>
              <w:keepLines/>
              <w:tabs>
                <w:tab w:val="decimal" w:pos="829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92" w:type="dxa"/>
            <w:tcBorders>
              <w:top w:val="single" w:sz="6" w:space="0" w:color="D9D9D9"/>
              <w:bottom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54EB66F8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 xml:space="preserve"> 27−36**</w:t>
            </w:r>
          </w:p>
        </w:tc>
        <w:tc>
          <w:tcPr>
            <w:tcW w:w="1513" w:type="dxa"/>
            <w:tcBorders>
              <w:top w:val="single" w:sz="6" w:space="0" w:color="D9D9D9"/>
              <w:bottom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65DA1F58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12</w:t>
            </w:r>
          </w:p>
        </w:tc>
      </w:tr>
      <w:tr w:rsidR="00F66987" w:rsidRPr="00F66987" w14:paraId="2C650A57" w14:textId="77777777" w:rsidTr="00A85717">
        <w:trPr>
          <w:cantSplit/>
          <w:trHeight w:val="148"/>
        </w:trPr>
        <w:tc>
          <w:tcPr>
            <w:tcW w:w="2052" w:type="dxa"/>
            <w:tcBorders>
              <w:top w:val="single" w:sz="6" w:space="0" w:color="808080"/>
            </w:tcBorders>
            <w:shd w:val="clear" w:color="auto" w:fill="auto"/>
            <w:vAlign w:val="bottom"/>
            <w:hideMark/>
          </w:tcPr>
          <w:p w14:paraId="74D71EF4" w14:textId="77777777" w:rsidR="00585E32" w:rsidRPr="00F66987" w:rsidRDefault="00585E32" w:rsidP="00585E32">
            <w:pPr>
              <w:keepNext/>
              <w:keepLines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Vabaõpe</w:t>
            </w:r>
          </w:p>
        </w:tc>
        <w:tc>
          <w:tcPr>
            <w:tcW w:w="1984" w:type="dxa"/>
            <w:tcBorders>
              <w:top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7BCB618F" w14:textId="77777777" w:rsidR="00585E32" w:rsidRPr="00F66987" w:rsidRDefault="00585E32" w:rsidP="00585E32">
            <w:pPr>
              <w:keepNext/>
              <w:keepLines/>
              <w:tabs>
                <w:tab w:val="decimal" w:pos="1024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701" w:type="dxa"/>
            <w:tcBorders>
              <w:top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446AB2F2" w14:textId="77777777" w:rsidR="00585E32" w:rsidRPr="00F66987" w:rsidRDefault="00585E32" w:rsidP="00585E32">
            <w:pPr>
              <w:keepNext/>
              <w:keepLines/>
              <w:tabs>
                <w:tab w:val="decimal" w:pos="829"/>
              </w:tabs>
              <w:jc w:val="left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92" w:type="dxa"/>
            <w:tcBorders>
              <w:top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4C5FBB77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513" w:type="dxa"/>
            <w:tcBorders>
              <w:top w:val="single" w:sz="6" w:space="0" w:color="808080"/>
            </w:tcBorders>
            <w:shd w:val="clear" w:color="auto" w:fill="auto"/>
            <w:noWrap/>
            <w:vAlign w:val="center"/>
            <w:hideMark/>
          </w:tcPr>
          <w:p w14:paraId="0FA79DFF" w14:textId="77777777" w:rsidR="00585E32" w:rsidRPr="00F66987" w:rsidRDefault="00585E32" w:rsidP="00585E32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sz w:val="22"/>
                <w:szCs w:val="22"/>
                <w:lang w:eastAsia="et-EE"/>
              </w:rPr>
              <w:t>12</w:t>
            </w:r>
          </w:p>
        </w:tc>
      </w:tr>
      <w:tr w:rsidR="00F66987" w:rsidRPr="00F66987" w14:paraId="7C6805F5" w14:textId="77777777" w:rsidTr="00961469">
        <w:trPr>
          <w:cantSplit/>
          <w:trHeight w:val="151"/>
        </w:trPr>
        <w:tc>
          <w:tcPr>
            <w:tcW w:w="2052" w:type="dxa"/>
            <w:shd w:val="clear" w:color="auto" w:fill="auto"/>
            <w:vAlign w:val="bottom"/>
          </w:tcPr>
          <w:p w14:paraId="3B4A891E" w14:textId="77777777" w:rsidR="00961469" w:rsidRPr="00F66987" w:rsidRDefault="00961469" w:rsidP="00961469">
            <w:pPr>
              <w:keepNext/>
              <w:keepLines/>
              <w:jc w:val="left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Lõputöö või lõpueksamid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7B11C0" w14:textId="77777777" w:rsidR="00961469" w:rsidRPr="00F66987" w:rsidRDefault="00961469" w:rsidP="00961469">
            <w:pPr>
              <w:keepNext/>
              <w:keepLines/>
              <w:jc w:val="center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6−12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64C206" w14:textId="77777777" w:rsidR="00961469" w:rsidRPr="00F66987" w:rsidRDefault="00961469" w:rsidP="00961469">
            <w:pPr>
              <w:keepNext/>
              <w:keepLines/>
              <w:jc w:val="center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18−30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2D7440C4" w14:textId="77777777" w:rsidR="00961469" w:rsidRPr="00F66987" w:rsidRDefault="00961469" w:rsidP="00961469">
            <w:pPr>
              <w:keepNext/>
              <w:keepLines/>
              <w:jc w:val="center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6−12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5FE557D9" w14:textId="77777777" w:rsidR="00961469" w:rsidRPr="00F66987" w:rsidRDefault="00961469" w:rsidP="00961469">
            <w:pPr>
              <w:keepNext/>
              <w:keepLines/>
              <w:jc w:val="center"/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</w:pPr>
            <w:r w:rsidRPr="00F66987">
              <w:rPr>
                <w:rFonts w:asciiTheme="minorHAnsi" w:hAnsiTheme="minorHAnsi"/>
                <w:bCs/>
                <w:sz w:val="22"/>
                <w:szCs w:val="22"/>
                <w:lang w:eastAsia="et-EE"/>
              </w:rPr>
              <w:t>30</w:t>
            </w:r>
          </w:p>
        </w:tc>
      </w:tr>
    </w:tbl>
    <w:p w14:paraId="3DB977F2" w14:textId="77777777" w:rsidR="00585E32" w:rsidRPr="00F66987" w:rsidRDefault="00585E32" w:rsidP="00585E32">
      <w:pPr>
        <w:rPr>
          <w:rFonts w:asciiTheme="minorHAnsi" w:hAnsiTheme="minorHAnsi"/>
          <w:sz w:val="22"/>
          <w:szCs w:val="22"/>
          <w:lang w:eastAsia="et-EE"/>
        </w:rPr>
      </w:pPr>
      <w:r w:rsidRPr="00F66987">
        <w:rPr>
          <w:rFonts w:asciiTheme="minorHAnsi" w:hAnsiTheme="minorHAnsi"/>
          <w:sz w:val="22"/>
          <w:szCs w:val="22"/>
          <w:lang w:eastAsia="et-EE"/>
        </w:rPr>
        <w:t>* Alla kaheaastase nominaalkestusega magistriõppes on kõik mahunõuded proportsionaalselt väiksemad ja magistritöö või -eksami maht on vähemalt 18 EAP-</w:t>
      </w:r>
      <w:proofErr w:type="spellStart"/>
      <w:r w:rsidRPr="00F66987">
        <w:rPr>
          <w:rFonts w:asciiTheme="minorHAnsi" w:hAnsiTheme="minorHAnsi"/>
          <w:sz w:val="22"/>
          <w:szCs w:val="22"/>
          <w:lang w:eastAsia="et-EE"/>
        </w:rPr>
        <w:t>d.</w:t>
      </w:r>
      <w:proofErr w:type="spellEnd"/>
    </w:p>
    <w:p w14:paraId="74F09CF4" w14:textId="407A428F" w:rsidR="00585E32" w:rsidRPr="00F66987" w:rsidRDefault="00585E32" w:rsidP="00585E32">
      <w:pPr>
        <w:rPr>
          <w:rFonts w:asciiTheme="minorHAnsi" w:hAnsiTheme="minorHAnsi"/>
          <w:sz w:val="22"/>
          <w:szCs w:val="22"/>
          <w:lang w:eastAsia="et-EE"/>
        </w:rPr>
      </w:pPr>
      <w:r w:rsidRPr="00F66987">
        <w:rPr>
          <w:rFonts w:asciiTheme="minorHAnsi" w:hAnsiTheme="minorHAnsi"/>
          <w:sz w:val="22"/>
          <w:szCs w:val="22"/>
          <w:lang w:eastAsia="et-EE"/>
        </w:rPr>
        <w:t>** Praktika moodustab rakenduskõrgharidusõppekavas määratud õppe mahust vähemalt 15%.</w:t>
      </w:r>
    </w:p>
    <w:p w14:paraId="4DC2246A" w14:textId="77777777" w:rsidR="002D1EF3" w:rsidRPr="00F66987" w:rsidRDefault="001F3B7D" w:rsidP="008455E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Valikaine</w:t>
      </w:r>
      <w:r w:rsidR="00FE6960" w:rsidRPr="00F66987">
        <w:rPr>
          <w:rFonts w:asciiTheme="minorHAnsi" w:hAnsiTheme="minorHAnsi"/>
          <w:sz w:val="22"/>
          <w:szCs w:val="22"/>
        </w:rPr>
        <w:t xml:space="preserve">d </w:t>
      </w:r>
      <w:r w:rsidRPr="00F66987">
        <w:rPr>
          <w:rFonts w:asciiTheme="minorHAnsi" w:hAnsiTheme="minorHAnsi"/>
          <w:sz w:val="22"/>
          <w:szCs w:val="22"/>
        </w:rPr>
        <w:t>moodusta</w:t>
      </w:r>
      <w:r w:rsidR="00FE6960" w:rsidRPr="00F66987">
        <w:rPr>
          <w:rFonts w:asciiTheme="minorHAnsi" w:hAnsiTheme="minorHAnsi"/>
          <w:sz w:val="22"/>
          <w:szCs w:val="22"/>
        </w:rPr>
        <w:t>vad</w:t>
      </w:r>
      <w:r w:rsidR="00002BE9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õppekava</w:t>
      </w:r>
      <w:r w:rsidR="00002BE9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 xml:space="preserve">mahust </w:t>
      </w:r>
      <w:r w:rsidR="00002BE9" w:rsidRPr="00F66987">
        <w:rPr>
          <w:rFonts w:asciiTheme="minorHAnsi" w:hAnsiTheme="minorHAnsi"/>
          <w:sz w:val="22"/>
          <w:szCs w:val="22"/>
        </w:rPr>
        <w:t>vähemalt 15%. Igas valikainet sisaldavas moodulis peab valik</w:t>
      </w:r>
      <w:r w:rsidRPr="00F66987">
        <w:rPr>
          <w:rFonts w:asciiTheme="minorHAnsi" w:hAnsiTheme="minorHAnsi"/>
          <w:sz w:val="22"/>
          <w:szCs w:val="22"/>
        </w:rPr>
        <w:t xml:space="preserve">us olevate </w:t>
      </w:r>
      <w:r w:rsidR="00FD1A9E" w:rsidRPr="00F66987">
        <w:rPr>
          <w:rFonts w:asciiTheme="minorHAnsi" w:hAnsiTheme="minorHAnsi"/>
          <w:sz w:val="22"/>
          <w:szCs w:val="22"/>
        </w:rPr>
        <w:t>õppe</w:t>
      </w:r>
      <w:r w:rsidR="00002BE9" w:rsidRPr="00F66987">
        <w:rPr>
          <w:rFonts w:asciiTheme="minorHAnsi" w:hAnsiTheme="minorHAnsi"/>
          <w:sz w:val="22"/>
          <w:szCs w:val="22"/>
        </w:rPr>
        <w:t>ainete maht olema vähemalt 1,5 korda suurem mooduli läbimiseks valitavate valikainete mahust.</w:t>
      </w:r>
    </w:p>
    <w:p w14:paraId="2BFBE661" w14:textId="77777777" w:rsidR="002D1EF3" w:rsidRPr="00F66987" w:rsidRDefault="002D1EF3" w:rsidP="008455E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Bakalaureuse-, rakenduskõrgharidus- ja integreeritud õppe õppekavad sisaldavad</w:t>
      </w:r>
      <w:r w:rsidR="00B52B39" w:rsidRPr="00F66987">
        <w:rPr>
          <w:rFonts w:asciiTheme="minorHAnsi" w:hAnsiTheme="minorHAnsi"/>
          <w:sz w:val="22"/>
          <w:szCs w:val="22"/>
        </w:rPr>
        <w:t xml:space="preserve"> muu hulgas</w:t>
      </w:r>
      <w:r w:rsidRPr="00F66987">
        <w:rPr>
          <w:rFonts w:asciiTheme="minorHAnsi" w:hAnsiTheme="minorHAnsi"/>
          <w:sz w:val="22"/>
          <w:szCs w:val="22"/>
        </w:rPr>
        <w:t>:</w:t>
      </w:r>
    </w:p>
    <w:p w14:paraId="79C1D1FB" w14:textId="77777777" w:rsidR="002D1EF3" w:rsidRPr="00F66987" w:rsidRDefault="00B52B39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s</w:t>
      </w:r>
      <w:r w:rsidR="002D1EF3" w:rsidRPr="00F66987">
        <w:rPr>
          <w:rFonts w:asciiTheme="minorHAnsi" w:hAnsiTheme="minorHAnsi"/>
          <w:sz w:val="22"/>
          <w:szCs w:val="22"/>
        </w:rPr>
        <w:t>otsiaal- ja humanitaarteadus</w:t>
      </w:r>
      <w:r w:rsidR="001F3B7D" w:rsidRPr="00F66987">
        <w:rPr>
          <w:rFonts w:asciiTheme="minorHAnsi" w:hAnsiTheme="minorHAnsi"/>
          <w:sz w:val="22"/>
          <w:szCs w:val="22"/>
        </w:rPr>
        <w:t>te</w:t>
      </w:r>
      <w:r w:rsidR="002D1EF3" w:rsidRPr="00F66987">
        <w:rPr>
          <w:rFonts w:asciiTheme="minorHAnsi" w:hAnsiTheme="minorHAnsi"/>
          <w:sz w:val="22"/>
          <w:szCs w:val="22"/>
        </w:rPr>
        <w:t>, loodusteadus</w:t>
      </w:r>
      <w:r w:rsidR="001F3B7D" w:rsidRPr="00F66987">
        <w:rPr>
          <w:rFonts w:asciiTheme="minorHAnsi" w:hAnsiTheme="minorHAnsi"/>
          <w:sz w:val="22"/>
          <w:szCs w:val="22"/>
        </w:rPr>
        <w:t>te</w:t>
      </w:r>
      <w:r w:rsidR="002D1EF3" w:rsidRPr="00F66987">
        <w:rPr>
          <w:rFonts w:asciiTheme="minorHAnsi" w:hAnsiTheme="minorHAnsi"/>
          <w:sz w:val="22"/>
          <w:szCs w:val="22"/>
        </w:rPr>
        <w:t>, info- ja kommunikatsioonitehnoloogia, matemaatika</w:t>
      </w:r>
      <w:r w:rsidR="001F3B7D" w:rsidRPr="00F66987">
        <w:rPr>
          <w:rFonts w:asciiTheme="minorHAnsi" w:hAnsiTheme="minorHAnsi"/>
          <w:sz w:val="22"/>
          <w:szCs w:val="22"/>
        </w:rPr>
        <w:t xml:space="preserve"> ja </w:t>
      </w:r>
      <w:r w:rsidR="002D1EF3" w:rsidRPr="00F66987">
        <w:rPr>
          <w:rFonts w:asciiTheme="minorHAnsi" w:hAnsiTheme="minorHAnsi"/>
          <w:sz w:val="22"/>
          <w:szCs w:val="22"/>
        </w:rPr>
        <w:t>ettevõtlus</w:t>
      </w:r>
      <w:r w:rsidR="001F3B7D" w:rsidRPr="00F66987">
        <w:rPr>
          <w:rFonts w:asciiTheme="minorHAnsi" w:hAnsiTheme="minorHAnsi"/>
          <w:sz w:val="22"/>
          <w:szCs w:val="22"/>
        </w:rPr>
        <w:t xml:space="preserve">e ainevaldkondade </w:t>
      </w:r>
      <w:r w:rsidR="002D1EF3" w:rsidRPr="00F66987">
        <w:rPr>
          <w:rFonts w:asciiTheme="minorHAnsi" w:hAnsiTheme="minorHAnsi"/>
          <w:sz w:val="22"/>
          <w:szCs w:val="22"/>
        </w:rPr>
        <w:t>õpiväljundeid katvaid õppeaineid</w:t>
      </w:r>
      <w:r w:rsidR="001F3B7D" w:rsidRPr="00F66987">
        <w:rPr>
          <w:rFonts w:asciiTheme="minorHAnsi" w:hAnsiTheme="minorHAnsi"/>
          <w:sz w:val="22"/>
          <w:szCs w:val="22"/>
        </w:rPr>
        <w:t>, mille nõuded k</w:t>
      </w:r>
      <w:r w:rsidRPr="00F66987">
        <w:rPr>
          <w:rFonts w:asciiTheme="minorHAnsi" w:hAnsiTheme="minorHAnsi"/>
          <w:sz w:val="22"/>
          <w:szCs w:val="22"/>
        </w:rPr>
        <w:t>ehtestab</w:t>
      </w:r>
      <w:r w:rsidR="00EE012C" w:rsidRPr="00F66987">
        <w:rPr>
          <w:rFonts w:asciiTheme="minorHAnsi" w:hAnsiTheme="minorHAnsi"/>
          <w:sz w:val="22"/>
          <w:szCs w:val="22"/>
        </w:rPr>
        <w:t xml:space="preserve"> õppeprorektor</w:t>
      </w:r>
      <w:r w:rsidRPr="00F66987">
        <w:rPr>
          <w:rFonts w:asciiTheme="minorHAnsi" w:hAnsiTheme="minorHAnsi"/>
          <w:sz w:val="22"/>
          <w:szCs w:val="22"/>
        </w:rPr>
        <w:t>;</w:t>
      </w:r>
      <w:r w:rsidR="00EE012C" w:rsidRPr="00F66987">
        <w:rPr>
          <w:rFonts w:asciiTheme="minorHAnsi" w:hAnsiTheme="minorHAnsi"/>
          <w:sz w:val="22"/>
          <w:szCs w:val="22"/>
        </w:rPr>
        <w:t xml:space="preserve"> </w:t>
      </w:r>
    </w:p>
    <w:p w14:paraId="1BA1739C" w14:textId="77777777" w:rsidR="002D1EF3" w:rsidRPr="00F66987" w:rsidRDefault="00585E32" w:rsidP="00585E3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õppeainet, milles kasutatakse interdistsiplinaarset õpet</w:t>
      </w:r>
      <w:r w:rsidR="00972802" w:rsidRPr="00F66987">
        <w:rPr>
          <w:rFonts w:asciiTheme="minorHAnsi" w:hAnsiTheme="minorHAnsi"/>
          <w:sz w:val="22"/>
          <w:szCs w:val="22"/>
        </w:rPr>
        <w:t>;</w:t>
      </w:r>
      <w:r w:rsidR="003A2D58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[jõustunud 21.11.2017]</w:t>
      </w:r>
    </w:p>
    <w:p w14:paraId="1BDCF107" w14:textId="77777777" w:rsidR="0084100C" w:rsidRPr="00F66987" w:rsidRDefault="00322F00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eestikeelsetes õppekavades</w:t>
      </w:r>
      <w:r w:rsidR="00D22D87" w:rsidRPr="00F66987">
        <w:rPr>
          <w:rFonts w:asciiTheme="minorHAnsi" w:hAnsiTheme="minorHAnsi"/>
          <w:sz w:val="22"/>
          <w:szCs w:val="22"/>
        </w:rPr>
        <w:t xml:space="preserve"> </w:t>
      </w:r>
      <w:r w:rsidR="00AA159E" w:rsidRPr="00F66987">
        <w:rPr>
          <w:rFonts w:asciiTheme="minorHAnsi" w:hAnsiTheme="minorHAnsi"/>
          <w:sz w:val="22"/>
          <w:szCs w:val="22"/>
        </w:rPr>
        <w:t>e</w:t>
      </w:r>
      <w:r w:rsidR="0084100C" w:rsidRPr="00F66987">
        <w:rPr>
          <w:rFonts w:asciiTheme="minorHAnsi" w:hAnsiTheme="minorHAnsi"/>
          <w:sz w:val="22"/>
          <w:szCs w:val="22"/>
        </w:rPr>
        <w:t xml:space="preserve">esti </w:t>
      </w:r>
      <w:r w:rsidR="0003267A" w:rsidRPr="00F66987">
        <w:rPr>
          <w:rFonts w:asciiTheme="minorHAnsi" w:hAnsiTheme="minorHAnsi"/>
          <w:sz w:val="22"/>
          <w:szCs w:val="22"/>
        </w:rPr>
        <w:t xml:space="preserve">ja inglise </w:t>
      </w:r>
      <w:r w:rsidR="0084100C" w:rsidRPr="00F66987">
        <w:rPr>
          <w:rFonts w:asciiTheme="minorHAnsi" w:hAnsiTheme="minorHAnsi"/>
          <w:sz w:val="22"/>
          <w:szCs w:val="22"/>
        </w:rPr>
        <w:t xml:space="preserve">keele suulist </w:t>
      </w:r>
      <w:r w:rsidR="00AA159E" w:rsidRPr="00F66987">
        <w:rPr>
          <w:rFonts w:asciiTheme="minorHAnsi" w:hAnsiTheme="minorHAnsi"/>
          <w:sz w:val="22"/>
          <w:szCs w:val="22"/>
        </w:rPr>
        <w:t xml:space="preserve">ning </w:t>
      </w:r>
      <w:r w:rsidR="0084100C" w:rsidRPr="00F66987">
        <w:rPr>
          <w:rFonts w:asciiTheme="minorHAnsi" w:hAnsiTheme="minorHAnsi"/>
          <w:sz w:val="22"/>
          <w:szCs w:val="22"/>
        </w:rPr>
        <w:t xml:space="preserve">kirjalikku </w:t>
      </w:r>
      <w:r w:rsidR="003C618B" w:rsidRPr="00F66987">
        <w:rPr>
          <w:rFonts w:asciiTheme="minorHAnsi" w:hAnsiTheme="minorHAnsi"/>
          <w:sz w:val="22"/>
          <w:szCs w:val="22"/>
        </w:rPr>
        <w:t xml:space="preserve">erialast </w:t>
      </w:r>
      <w:r w:rsidR="0084100C" w:rsidRPr="00F66987">
        <w:rPr>
          <w:rFonts w:asciiTheme="minorHAnsi" w:hAnsiTheme="minorHAnsi"/>
          <w:sz w:val="22"/>
          <w:szCs w:val="22"/>
        </w:rPr>
        <w:t xml:space="preserve">eneseväljendust </w:t>
      </w:r>
      <w:r w:rsidR="0003267A" w:rsidRPr="00F66987">
        <w:rPr>
          <w:rFonts w:asciiTheme="minorHAnsi" w:hAnsiTheme="minorHAnsi"/>
          <w:sz w:val="22"/>
          <w:szCs w:val="22"/>
        </w:rPr>
        <w:t>arendavaid õppeaineid</w:t>
      </w:r>
      <w:r w:rsidR="003C618B" w:rsidRPr="00F66987">
        <w:rPr>
          <w:rFonts w:asciiTheme="minorHAnsi" w:hAnsiTheme="minorHAnsi"/>
          <w:sz w:val="22"/>
          <w:szCs w:val="22"/>
        </w:rPr>
        <w:t>;</w:t>
      </w:r>
      <w:r w:rsidR="0003267A" w:rsidRPr="00F66987">
        <w:rPr>
          <w:rFonts w:asciiTheme="minorHAnsi" w:hAnsiTheme="minorHAnsi"/>
          <w:sz w:val="22"/>
          <w:szCs w:val="22"/>
        </w:rPr>
        <w:t xml:space="preserve"> </w:t>
      </w:r>
    </w:p>
    <w:p w14:paraId="06176CB8" w14:textId="77777777" w:rsidR="00D966E8" w:rsidRPr="00F66987" w:rsidRDefault="00D966E8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ingliskeelsetes õppekavades eesti keele ja kultuuri õpet vähemalt 6 EAP mahus; [jõustub 2021/2022. õppeaastast]</w:t>
      </w:r>
    </w:p>
    <w:p w14:paraId="4BB273C8" w14:textId="77777777" w:rsidR="000A2969" w:rsidRPr="00F66987" w:rsidRDefault="0096531D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t</w:t>
      </w:r>
      <w:r w:rsidR="00CA4317" w:rsidRPr="00F66987">
        <w:rPr>
          <w:rFonts w:asciiTheme="minorHAnsi" w:hAnsiTheme="minorHAnsi"/>
          <w:sz w:val="22"/>
          <w:szCs w:val="22"/>
        </w:rPr>
        <w:t xml:space="preserve">eadusliku mõtteviisi </w:t>
      </w:r>
      <w:r w:rsidR="00D12AB7" w:rsidRPr="00F66987">
        <w:rPr>
          <w:rFonts w:asciiTheme="minorHAnsi" w:hAnsiTheme="minorHAnsi"/>
          <w:sz w:val="22"/>
          <w:szCs w:val="22"/>
        </w:rPr>
        <w:t xml:space="preserve">ja heade teadustavade </w:t>
      </w:r>
      <w:r w:rsidR="00822082" w:rsidRPr="00F66987">
        <w:rPr>
          <w:rFonts w:asciiTheme="minorHAnsi" w:hAnsiTheme="minorHAnsi"/>
          <w:sz w:val="22"/>
          <w:szCs w:val="22"/>
        </w:rPr>
        <w:t xml:space="preserve">omandamist, </w:t>
      </w:r>
      <w:r w:rsidR="00CA4317" w:rsidRPr="00F66987">
        <w:rPr>
          <w:rFonts w:asciiTheme="minorHAnsi" w:hAnsiTheme="minorHAnsi"/>
          <w:sz w:val="22"/>
          <w:szCs w:val="22"/>
        </w:rPr>
        <w:t>erialase teadustöö metodoloogia rakendamist edendavaid õppeaineid</w:t>
      </w:r>
      <w:r w:rsidR="00732955" w:rsidRPr="00F66987">
        <w:rPr>
          <w:rFonts w:asciiTheme="minorHAnsi" w:hAnsiTheme="minorHAnsi"/>
          <w:sz w:val="22"/>
          <w:szCs w:val="22"/>
        </w:rPr>
        <w:t>.</w:t>
      </w:r>
      <w:r w:rsidR="00D966E8" w:rsidRPr="00F66987">
        <w:rPr>
          <w:rFonts w:asciiTheme="minorHAnsi" w:hAnsiTheme="minorHAnsi"/>
          <w:sz w:val="22"/>
          <w:szCs w:val="22"/>
        </w:rPr>
        <w:t xml:space="preserve"> [jõustunud 20.02.2020]</w:t>
      </w:r>
    </w:p>
    <w:p w14:paraId="1810AE8E" w14:textId="77777777" w:rsidR="002D1EF3" w:rsidRPr="00F66987" w:rsidRDefault="002D1EF3" w:rsidP="002E5D76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Magistriõppe õppekavad sisaldavad</w:t>
      </w:r>
      <w:r w:rsidR="0096531D" w:rsidRPr="00F66987">
        <w:rPr>
          <w:rFonts w:asciiTheme="minorHAnsi" w:hAnsiTheme="minorHAnsi"/>
          <w:sz w:val="22"/>
          <w:szCs w:val="22"/>
        </w:rPr>
        <w:t xml:space="preserve"> muu hulgas</w:t>
      </w:r>
      <w:r w:rsidRPr="00F66987">
        <w:rPr>
          <w:rFonts w:asciiTheme="minorHAnsi" w:hAnsiTheme="minorHAnsi"/>
          <w:sz w:val="22"/>
          <w:szCs w:val="22"/>
        </w:rPr>
        <w:t>:</w:t>
      </w:r>
    </w:p>
    <w:p w14:paraId="53052A78" w14:textId="77777777" w:rsidR="002D1EF3" w:rsidRPr="00F66987" w:rsidRDefault="0096531D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e</w:t>
      </w:r>
      <w:r w:rsidR="002D1EF3" w:rsidRPr="00F66987">
        <w:rPr>
          <w:rFonts w:asciiTheme="minorHAnsi" w:hAnsiTheme="minorHAnsi"/>
          <w:sz w:val="22"/>
          <w:szCs w:val="22"/>
        </w:rPr>
        <w:t>ttevõtluse ainevaldkonna õpiväljundeid katvat õppeainet või õppeaineid</w:t>
      </w:r>
      <w:r w:rsidR="00DB3CB7" w:rsidRPr="00F66987">
        <w:rPr>
          <w:rFonts w:asciiTheme="minorHAnsi" w:hAnsiTheme="minorHAnsi"/>
          <w:sz w:val="22"/>
          <w:szCs w:val="22"/>
        </w:rPr>
        <w:t xml:space="preserve">, mille nõuded </w:t>
      </w:r>
      <w:r w:rsidRPr="00F66987">
        <w:rPr>
          <w:rFonts w:asciiTheme="minorHAnsi" w:hAnsiTheme="minorHAnsi"/>
          <w:sz w:val="22"/>
          <w:szCs w:val="22"/>
        </w:rPr>
        <w:t xml:space="preserve">kehtestab </w:t>
      </w:r>
      <w:r w:rsidR="00DB3CB7" w:rsidRPr="00F66987">
        <w:rPr>
          <w:rFonts w:asciiTheme="minorHAnsi" w:hAnsiTheme="minorHAnsi"/>
          <w:sz w:val="22"/>
          <w:szCs w:val="22"/>
        </w:rPr>
        <w:t>õppeprorektor;</w:t>
      </w:r>
      <w:r w:rsidR="002D1EF3" w:rsidRPr="00F66987">
        <w:rPr>
          <w:rFonts w:asciiTheme="minorHAnsi" w:hAnsiTheme="minorHAnsi"/>
          <w:sz w:val="22"/>
          <w:szCs w:val="22"/>
        </w:rPr>
        <w:t xml:space="preserve"> </w:t>
      </w:r>
    </w:p>
    <w:p w14:paraId="083B0FDE" w14:textId="77777777" w:rsidR="002D1EF3" w:rsidRPr="00F66987" w:rsidRDefault="00585E32" w:rsidP="00585E3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õppeainet, milles kasutatakse interdistsiplinaarset õpet</w:t>
      </w:r>
      <w:r w:rsidR="0084100C" w:rsidRPr="00F66987">
        <w:rPr>
          <w:rFonts w:asciiTheme="minorHAnsi" w:hAnsiTheme="minorHAnsi"/>
          <w:sz w:val="22"/>
          <w:szCs w:val="22"/>
        </w:rPr>
        <w:t>;</w:t>
      </w:r>
      <w:r w:rsidRPr="00F66987">
        <w:rPr>
          <w:rFonts w:asciiTheme="minorHAnsi" w:hAnsiTheme="minorHAnsi"/>
          <w:sz w:val="22"/>
          <w:szCs w:val="22"/>
        </w:rPr>
        <w:t xml:space="preserve"> [jõustunud 21.11.2017]</w:t>
      </w:r>
    </w:p>
    <w:p w14:paraId="5CDC7C0E" w14:textId="77777777" w:rsidR="0084100C" w:rsidRPr="00F66987" w:rsidRDefault="00322F00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eestikeelsetes õppekavades </w:t>
      </w:r>
      <w:r w:rsidR="0096531D" w:rsidRPr="00F66987">
        <w:rPr>
          <w:rFonts w:asciiTheme="minorHAnsi" w:hAnsiTheme="minorHAnsi"/>
          <w:sz w:val="22"/>
          <w:szCs w:val="22"/>
        </w:rPr>
        <w:t>e</w:t>
      </w:r>
      <w:r w:rsidR="0084100C" w:rsidRPr="00F66987">
        <w:rPr>
          <w:rFonts w:asciiTheme="minorHAnsi" w:hAnsiTheme="minorHAnsi"/>
          <w:sz w:val="22"/>
          <w:szCs w:val="22"/>
        </w:rPr>
        <w:t xml:space="preserve">esti </w:t>
      </w:r>
      <w:r w:rsidR="00DB3CB7" w:rsidRPr="00F66987">
        <w:rPr>
          <w:rFonts w:asciiTheme="minorHAnsi" w:hAnsiTheme="minorHAnsi"/>
          <w:sz w:val="22"/>
          <w:szCs w:val="22"/>
        </w:rPr>
        <w:t xml:space="preserve">ja inglise </w:t>
      </w:r>
      <w:r w:rsidR="0084100C" w:rsidRPr="00F66987">
        <w:rPr>
          <w:rFonts w:asciiTheme="minorHAnsi" w:hAnsiTheme="minorHAnsi"/>
          <w:sz w:val="22"/>
          <w:szCs w:val="22"/>
        </w:rPr>
        <w:t xml:space="preserve">keele suulist </w:t>
      </w:r>
      <w:r w:rsidR="0096531D" w:rsidRPr="00F66987">
        <w:rPr>
          <w:rFonts w:asciiTheme="minorHAnsi" w:hAnsiTheme="minorHAnsi"/>
          <w:sz w:val="22"/>
          <w:szCs w:val="22"/>
        </w:rPr>
        <w:t xml:space="preserve">ning </w:t>
      </w:r>
      <w:r w:rsidR="0084100C" w:rsidRPr="00F66987">
        <w:rPr>
          <w:rFonts w:asciiTheme="minorHAnsi" w:hAnsiTheme="minorHAnsi"/>
          <w:sz w:val="22"/>
          <w:szCs w:val="22"/>
        </w:rPr>
        <w:t xml:space="preserve">kirjalikku </w:t>
      </w:r>
      <w:r w:rsidR="00E64451" w:rsidRPr="00F66987">
        <w:rPr>
          <w:rFonts w:asciiTheme="minorHAnsi" w:hAnsiTheme="minorHAnsi"/>
          <w:sz w:val="22"/>
          <w:szCs w:val="22"/>
        </w:rPr>
        <w:t xml:space="preserve">erialast </w:t>
      </w:r>
      <w:r w:rsidR="0084100C" w:rsidRPr="00F66987">
        <w:rPr>
          <w:rFonts w:asciiTheme="minorHAnsi" w:hAnsiTheme="minorHAnsi"/>
          <w:sz w:val="22"/>
          <w:szCs w:val="22"/>
        </w:rPr>
        <w:t>eneseväljendust</w:t>
      </w:r>
      <w:r w:rsidR="00DB3CB7" w:rsidRPr="00F66987">
        <w:rPr>
          <w:rFonts w:asciiTheme="minorHAnsi" w:hAnsiTheme="minorHAnsi"/>
          <w:sz w:val="22"/>
          <w:szCs w:val="22"/>
        </w:rPr>
        <w:t xml:space="preserve"> arendavaid õppeaineid</w:t>
      </w:r>
      <w:r w:rsidR="007C1EEE" w:rsidRPr="00F66987">
        <w:rPr>
          <w:rFonts w:asciiTheme="minorHAnsi" w:hAnsiTheme="minorHAnsi"/>
          <w:sz w:val="22"/>
          <w:szCs w:val="22"/>
        </w:rPr>
        <w:t>.</w:t>
      </w:r>
      <w:r w:rsidR="00DB3CB7" w:rsidRPr="00F66987">
        <w:rPr>
          <w:rFonts w:asciiTheme="minorHAnsi" w:hAnsiTheme="minorHAnsi"/>
          <w:sz w:val="22"/>
          <w:szCs w:val="22"/>
        </w:rPr>
        <w:t xml:space="preserve"> </w:t>
      </w:r>
    </w:p>
    <w:p w14:paraId="11901F13" w14:textId="77777777" w:rsidR="00D966E8" w:rsidRPr="00F66987" w:rsidRDefault="00D966E8" w:rsidP="00D966E8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ingliskeelsetes õppekavades eesti keele ja kultuuri õpet vähemalt 6 EAP mahus. [jõustub 2021/2022. õppeaastast]</w:t>
      </w:r>
    </w:p>
    <w:p w14:paraId="6104C449" w14:textId="77777777" w:rsidR="002D1EF3" w:rsidRPr="00F66987" w:rsidRDefault="002D1EF3" w:rsidP="002E5D76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</w:t>
      </w:r>
      <w:r w:rsidR="007349E9" w:rsidRPr="00F66987">
        <w:rPr>
          <w:rFonts w:asciiTheme="minorHAnsi" w:hAnsiTheme="minorHAnsi"/>
          <w:sz w:val="22"/>
          <w:szCs w:val="22"/>
        </w:rPr>
        <w:t>õppe</w:t>
      </w:r>
      <w:r w:rsidRPr="00F66987">
        <w:rPr>
          <w:rFonts w:asciiTheme="minorHAnsi" w:hAnsiTheme="minorHAnsi"/>
          <w:sz w:val="22"/>
          <w:szCs w:val="22"/>
        </w:rPr>
        <w:t>ainetest võib moodustada</w:t>
      </w:r>
      <w:r w:rsidR="00CC262D" w:rsidRPr="00F66987">
        <w:rPr>
          <w:rFonts w:asciiTheme="minorHAnsi" w:hAnsiTheme="minorHAnsi"/>
          <w:sz w:val="22"/>
          <w:szCs w:val="22"/>
        </w:rPr>
        <w:t xml:space="preserve"> ühe või mitu</w:t>
      </w:r>
      <w:r w:rsidRPr="00F669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66987">
        <w:rPr>
          <w:rFonts w:asciiTheme="minorHAnsi" w:hAnsiTheme="minorHAnsi"/>
          <w:sz w:val="22"/>
          <w:szCs w:val="22"/>
        </w:rPr>
        <w:t>kõrvaleriala</w:t>
      </w:r>
      <w:proofErr w:type="spellEnd"/>
      <w:r w:rsidR="007349E9" w:rsidRPr="00F66987">
        <w:rPr>
          <w:rFonts w:asciiTheme="minorHAnsi" w:hAnsiTheme="minorHAnsi"/>
          <w:sz w:val="22"/>
          <w:szCs w:val="22"/>
        </w:rPr>
        <w:t>.</w:t>
      </w:r>
      <w:r w:rsidR="004B4537" w:rsidRPr="00F669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49E9" w:rsidRPr="00F66987">
        <w:rPr>
          <w:rFonts w:asciiTheme="minorHAnsi" w:hAnsiTheme="minorHAnsi"/>
          <w:sz w:val="22"/>
          <w:szCs w:val="22"/>
        </w:rPr>
        <w:t>Kõrvaleriala</w:t>
      </w:r>
      <w:proofErr w:type="spellEnd"/>
      <w:r w:rsidR="007349E9" w:rsidRPr="00F66987">
        <w:rPr>
          <w:rFonts w:asciiTheme="minorHAnsi" w:hAnsiTheme="minorHAnsi"/>
          <w:sz w:val="22"/>
          <w:szCs w:val="22"/>
        </w:rPr>
        <w:t xml:space="preserve"> on omandatud erialaste alusteadmiste ja </w:t>
      </w:r>
      <w:r w:rsidR="00972802" w:rsidRPr="00F66987">
        <w:rPr>
          <w:rFonts w:asciiTheme="minorHAnsi" w:hAnsiTheme="minorHAnsi"/>
          <w:sz w:val="22"/>
          <w:szCs w:val="22"/>
        </w:rPr>
        <w:t>-</w:t>
      </w:r>
      <w:r w:rsidR="007349E9" w:rsidRPr="00F66987">
        <w:rPr>
          <w:rFonts w:asciiTheme="minorHAnsi" w:hAnsiTheme="minorHAnsi"/>
          <w:sz w:val="22"/>
          <w:szCs w:val="22"/>
        </w:rPr>
        <w:t xml:space="preserve">oskuste </w:t>
      </w:r>
      <w:r w:rsidR="00B034C6" w:rsidRPr="00F66987">
        <w:rPr>
          <w:rFonts w:asciiTheme="minorHAnsi" w:hAnsiTheme="minorHAnsi"/>
          <w:sz w:val="22"/>
          <w:szCs w:val="22"/>
        </w:rPr>
        <w:t>kogum, mis</w:t>
      </w:r>
      <w:r w:rsidR="007349E9" w:rsidRPr="00F66987">
        <w:rPr>
          <w:rFonts w:asciiTheme="minorHAnsi" w:hAnsiTheme="minorHAnsi"/>
          <w:sz w:val="22"/>
          <w:szCs w:val="22"/>
        </w:rPr>
        <w:t xml:space="preserve"> </w:t>
      </w:r>
      <w:r w:rsidR="004B4537" w:rsidRPr="00F66987">
        <w:rPr>
          <w:rFonts w:asciiTheme="minorHAnsi" w:hAnsiTheme="minorHAnsi"/>
          <w:sz w:val="22"/>
          <w:szCs w:val="22"/>
        </w:rPr>
        <w:t xml:space="preserve">võimaldab </w:t>
      </w:r>
      <w:r w:rsidR="00895484" w:rsidRPr="00F66987">
        <w:rPr>
          <w:rFonts w:asciiTheme="minorHAnsi" w:hAnsiTheme="minorHAnsi"/>
          <w:sz w:val="22"/>
          <w:szCs w:val="22"/>
        </w:rPr>
        <w:t>selle valinud</w:t>
      </w:r>
      <w:r w:rsidRPr="00F66987">
        <w:rPr>
          <w:rFonts w:asciiTheme="minorHAnsi" w:hAnsiTheme="minorHAnsi"/>
          <w:sz w:val="22"/>
          <w:szCs w:val="22"/>
        </w:rPr>
        <w:t xml:space="preserve"> </w:t>
      </w:r>
      <w:r w:rsidR="004B4537" w:rsidRPr="00F66987">
        <w:rPr>
          <w:rFonts w:asciiTheme="minorHAnsi" w:hAnsiTheme="minorHAnsi"/>
          <w:sz w:val="22"/>
          <w:szCs w:val="22"/>
        </w:rPr>
        <w:t>üliõpilastel</w:t>
      </w:r>
      <w:r w:rsidR="005B4124" w:rsidRPr="00F66987">
        <w:rPr>
          <w:rFonts w:asciiTheme="minorHAnsi" w:hAnsiTheme="minorHAnsi"/>
          <w:sz w:val="22"/>
          <w:szCs w:val="22"/>
        </w:rPr>
        <w:t xml:space="preserve"> omandada täiendavaid teadmisi ja oskusi </w:t>
      </w:r>
      <w:r w:rsidR="00B034C6" w:rsidRPr="00F66987">
        <w:rPr>
          <w:rFonts w:asciiTheme="minorHAnsi" w:hAnsiTheme="minorHAnsi"/>
          <w:sz w:val="22"/>
          <w:szCs w:val="22"/>
        </w:rPr>
        <w:t xml:space="preserve">vastaval erialal </w:t>
      </w:r>
      <w:r w:rsidR="004B4537" w:rsidRPr="00F66987">
        <w:rPr>
          <w:rFonts w:asciiTheme="minorHAnsi" w:hAnsiTheme="minorHAnsi"/>
          <w:sz w:val="22"/>
          <w:szCs w:val="22"/>
        </w:rPr>
        <w:t xml:space="preserve">tööle asumiseks või õpingute jätkamiseks järgmisel </w:t>
      </w:r>
      <w:r w:rsidR="001F2694" w:rsidRPr="00F66987">
        <w:rPr>
          <w:rFonts w:asciiTheme="minorHAnsi" w:hAnsiTheme="minorHAnsi"/>
          <w:sz w:val="22"/>
          <w:szCs w:val="22"/>
        </w:rPr>
        <w:t>õppeastmel</w:t>
      </w:r>
      <w:r w:rsidR="005B4124" w:rsidRPr="00F6698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5B4124" w:rsidRPr="00F66987">
        <w:rPr>
          <w:rFonts w:asciiTheme="minorHAnsi" w:hAnsiTheme="minorHAnsi"/>
          <w:sz w:val="22"/>
          <w:szCs w:val="22"/>
        </w:rPr>
        <w:t>Kõrvaleriala</w:t>
      </w:r>
      <w:proofErr w:type="spellEnd"/>
      <w:r w:rsidR="005B4124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maht on vähemalt 45 EAP</w:t>
      </w:r>
      <w:r w:rsidR="007349E9" w:rsidRPr="00F66987">
        <w:rPr>
          <w:rFonts w:asciiTheme="minorHAnsi" w:hAnsiTheme="minorHAnsi"/>
          <w:sz w:val="22"/>
          <w:szCs w:val="22"/>
        </w:rPr>
        <w:t>-</w:t>
      </w:r>
      <w:proofErr w:type="spellStart"/>
      <w:r w:rsidR="007349E9" w:rsidRPr="00F66987">
        <w:rPr>
          <w:rFonts w:asciiTheme="minorHAnsi" w:hAnsiTheme="minorHAnsi"/>
          <w:sz w:val="22"/>
          <w:szCs w:val="22"/>
        </w:rPr>
        <w:t>d</w:t>
      </w:r>
      <w:r w:rsidR="007D5398" w:rsidRPr="00F66987">
        <w:rPr>
          <w:rFonts w:asciiTheme="minorHAnsi" w:hAnsiTheme="minorHAnsi"/>
          <w:sz w:val="22"/>
          <w:szCs w:val="22"/>
        </w:rPr>
        <w:t>.</w:t>
      </w:r>
      <w:proofErr w:type="spellEnd"/>
      <w:r w:rsidR="005B4124" w:rsidRPr="00F66987">
        <w:rPr>
          <w:rFonts w:asciiTheme="minorHAnsi" w:hAnsiTheme="minorHAnsi"/>
          <w:sz w:val="22"/>
          <w:szCs w:val="22"/>
        </w:rPr>
        <w:t xml:space="preserve"> </w:t>
      </w:r>
      <w:r w:rsidR="007D5398" w:rsidRPr="00F66987">
        <w:rPr>
          <w:rFonts w:asciiTheme="minorHAnsi" w:hAnsiTheme="minorHAnsi"/>
          <w:sz w:val="22"/>
          <w:szCs w:val="22"/>
        </w:rPr>
        <w:t xml:space="preserve">Juhul kui </w:t>
      </w:r>
      <w:proofErr w:type="spellStart"/>
      <w:r w:rsidR="007D5398" w:rsidRPr="00F66987">
        <w:rPr>
          <w:rFonts w:asciiTheme="minorHAnsi" w:hAnsiTheme="minorHAnsi"/>
          <w:sz w:val="22"/>
          <w:szCs w:val="22"/>
        </w:rPr>
        <w:t>kõrvaleriala</w:t>
      </w:r>
      <w:proofErr w:type="spellEnd"/>
      <w:r w:rsidR="00B034C6" w:rsidRPr="00F66987">
        <w:rPr>
          <w:rFonts w:asciiTheme="minorHAnsi" w:hAnsiTheme="minorHAnsi"/>
          <w:sz w:val="22"/>
          <w:szCs w:val="22"/>
        </w:rPr>
        <w:t xml:space="preserve"> sisaldab õppekava õppeainet</w:t>
      </w:r>
      <w:r w:rsidR="007D5398" w:rsidRPr="00F66987">
        <w:rPr>
          <w:rFonts w:asciiTheme="minorHAnsi" w:hAnsiTheme="minorHAnsi"/>
          <w:sz w:val="22"/>
          <w:szCs w:val="22"/>
        </w:rPr>
        <w:t xml:space="preserve">, millel üliõpilane õpib, siis arvestatakse seda nii </w:t>
      </w:r>
      <w:proofErr w:type="spellStart"/>
      <w:r w:rsidR="007D5398" w:rsidRPr="00F66987">
        <w:rPr>
          <w:rFonts w:asciiTheme="minorHAnsi" w:hAnsiTheme="minorHAnsi"/>
          <w:sz w:val="22"/>
          <w:szCs w:val="22"/>
        </w:rPr>
        <w:t>kõrvaleriala</w:t>
      </w:r>
      <w:proofErr w:type="spellEnd"/>
      <w:r w:rsidR="007D5398" w:rsidRPr="00F66987">
        <w:rPr>
          <w:rFonts w:asciiTheme="minorHAnsi" w:hAnsiTheme="minorHAnsi"/>
          <w:sz w:val="22"/>
          <w:szCs w:val="22"/>
        </w:rPr>
        <w:t xml:space="preserve"> kui õppekava täitmiseks.</w:t>
      </w:r>
    </w:p>
    <w:p w14:paraId="0EEB210E" w14:textId="77777777" w:rsidR="006D1589" w:rsidRPr="00F66987" w:rsidRDefault="006D1589" w:rsidP="00025C38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Kont</w:t>
      </w:r>
      <w:r w:rsidR="00EE012C" w:rsidRPr="00F66987">
        <w:rPr>
          <w:rFonts w:asciiTheme="minorHAnsi" w:hAnsiTheme="minorHAnsi"/>
          <w:sz w:val="22"/>
          <w:szCs w:val="22"/>
        </w:rPr>
        <w:t>aktõppe mah</w:t>
      </w:r>
      <w:r w:rsidR="002172E2" w:rsidRPr="00F66987">
        <w:rPr>
          <w:rFonts w:asciiTheme="minorHAnsi" w:hAnsiTheme="minorHAnsi"/>
          <w:sz w:val="22"/>
          <w:szCs w:val="22"/>
        </w:rPr>
        <w:t>u</w:t>
      </w:r>
      <w:r w:rsidR="00EE012C" w:rsidRPr="00F66987">
        <w:rPr>
          <w:rFonts w:asciiTheme="minorHAnsi" w:hAnsiTheme="minorHAnsi"/>
          <w:sz w:val="22"/>
          <w:szCs w:val="22"/>
        </w:rPr>
        <w:t xml:space="preserve"> </w:t>
      </w:r>
      <w:r w:rsidR="00C803E1" w:rsidRPr="00F66987">
        <w:rPr>
          <w:rFonts w:asciiTheme="minorHAnsi" w:hAnsiTheme="minorHAnsi"/>
          <w:sz w:val="22"/>
          <w:szCs w:val="22"/>
        </w:rPr>
        <w:t xml:space="preserve">arvestamise alused </w:t>
      </w:r>
      <w:r w:rsidRPr="00F66987">
        <w:rPr>
          <w:rFonts w:asciiTheme="minorHAnsi" w:hAnsiTheme="minorHAnsi"/>
          <w:sz w:val="22"/>
          <w:szCs w:val="22"/>
        </w:rPr>
        <w:t>k</w:t>
      </w:r>
      <w:r w:rsidR="002172E2" w:rsidRPr="00F66987">
        <w:rPr>
          <w:rFonts w:asciiTheme="minorHAnsi" w:hAnsiTheme="minorHAnsi"/>
          <w:sz w:val="22"/>
          <w:szCs w:val="22"/>
        </w:rPr>
        <w:t xml:space="preserve">ehtestab </w:t>
      </w:r>
      <w:r w:rsidRPr="00F66987">
        <w:rPr>
          <w:rFonts w:asciiTheme="minorHAnsi" w:hAnsiTheme="minorHAnsi"/>
          <w:sz w:val="22"/>
          <w:szCs w:val="22"/>
        </w:rPr>
        <w:t>õppeprorektor</w:t>
      </w:r>
      <w:r w:rsidR="001301F8" w:rsidRPr="00F66987">
        <w:rPr>
          <w:rFonts w:asciiTheme="minorHAnsi" w:hAnsiTheme="minorHAnsi"/>
          <w:sz w:val="22"/>
          <w:szCs w:val="22"/>
        </w:rPr>
        <w:t>.</w:t>
      </w:r>
      <w:r w:rsidRPr="00F66987">
        <w:rPr>
          <w:rFonts w:asciiTheme="minorHAnsi" w:hAnsiTheme="minorHAnsi"/>
          <w:sz w:val="22"/>
          <w:szCs w:val="22"/>
        </w:rPr>
        <w:t xml:space="preserve"> </w:t>
      </w:r>
    </w:p>
    <w:p w14:paraId="6D5FC537" w14:textId="77777777" w:rsidR="00585E32" w:rsidRPr="00F66987" w:rsidRDefault="00585E32" w:rsidP="00585E32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Kohustuslikus õppeaines on tagatud </w:t>
      </w:r>
      <w:proofErr w:type="spellStart"/>
      <w:r w:rsidRPr="00F66987">
        <w:rPr>
          <w:rFonts w:asciiTheme="minorHAnsi" w:hAnsiTheme="minorHAnsi"/>
          <w:sz w:val="22"/>
          <w:szCs w:val="22"/>
        </w:rPr>
        <w:t>e-tugi</w:t>
      </w:r>
      <w:proofErr w:type="spellEnd"/>
      <w:r w:rsidRPr="00F66987">
        <w:rPr>
          <w:rFonts w:asciiTheme="minorHAnsi" w:hAnsiTheme="minorHAnsi"/>
          <w:sz w:val="22"/>
          <w:szCs w:val="22"/>
        </w:rPr>
        <w:t>. [jõustunud 21.11.2017]</w:t>
      </w:r>
    </w:p>
    <w:p w14:paraId="0E1DB27D" w14:textId="77777777" w:rsidR="00370D9C" w:rsidRPr="00F66987" w:rsidRDefault="002D1EF3" w:rsidP="002D1EF3">
      <w:pPr>
        <w:pStyle w:val="Heading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br/>
        <w:t>DOKTORIÕPPEKAVA</w:t>
      </w:r>
    </w:p>
    <w:p w14:paraId="24552148" w14:textId="32C18847" w:rsidR="002D1EF3" w:rsidRPr="00F66987" w:rsidRDefault="002D1EF3" w:rsidP="000B58B9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Õppekavale esitatavad nõuded</w:t>
      </w:r>
      <w:r w:rsidR="00855BA9" w:rsidRPr="00F66987">
        <w:rPr>
          <w:rFonts w:asciiTheme="minorHAnsi" w:hAnsiTheme="minorHAnsi"/>
          <w:sz w:val="22"/>
          <w:szCs w:val="22"/>
        </w:rPr>
        <w:t xml:space="preserve"> [jõustunud </w:t>
      </w:r>
      <w:r w:rsidR="009E78D3" w:rsidRPr="00F66987">
        <w:rPr>
          <w:rFonts w:asciiTheme="minorHAnsi" w:hAnsiTheme="minorHAnsi"/>
          <w:sz w:val="22"/>
          <w:szCs w:val="22"/>
        </w:rPr>
        <w:t>23</w:t>
      </w:r>
      <w:r w:rsidR="00855BA9" w:rsidRPr="00F66987">
        <w:rPr>
          <w:rFonts w:asciiTheme="minorHAnsi" w:hAnsiTheme="minorHAnsi"/>
          <w:sz w:val="22"/>
          <w:szCs w:val="22"/>
        </w:rPr>
        <w:t>.05.2021]</w:t>
      </w:r>
    </w:p>
    <w:p w14:paraId="70EA7FA6" w14:textId="55100DD5" w:rsidR="002D1EF3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Doktoriõpe koosneb doktoriõpingutest mahuga 30 EAP-d, mis vastab arvestuslikult 780 tunnile õppetööle ning teadus-, arendus- ja loometööst, sh doktoritöö, mis vastab arvestuslikult 5460 töötunnile ja moodustab 87,5% kogu õppekava mahust</w:t>
      </w:r>
      <w:r w:rsidR="00822082" w:rsidRPr="00F66987">
        <w:rPr>
          <w:rFonts w:asciiTheme="minorHAnsi" w:hAnsiTheme="minorHAnsi"/>
          <w:sz w:val="22"/>
          <w:szCs w:val="22"/>
        </w:rPr>
        <w:t>.</w:t>
      </w:r>
    </w:p>
    <w:p w14:paraId="330EC49D" w14:textId="77777777" w:rsidR="00855BA9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Doktoriõppekava koosneb alljärgnevatest moodulitest:</w:t>
      </w:r>
    </w:p>
    <w:p w14:paraId="589987E9" w14:textId="77777777" w:rsidR="00855BA9" w:rsidRPr="00F66987" w:rsidRDefault="00855BA9" w:rsidP="00855BA9">
      <w:pPr>
        <w:pStyle w:val="Bodym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1) ülekantavate oskuste moodul, mille miinimummaht on 12 EAP-d;</w:t>
      </w:r>
    </w:p>
    <w:p w14:paraId="14FFDD6C" w14:textId="77777777" w:rsidR="00855BA9" w:rsidRPr="00F66987" w:rsidRDefault="00855BA9" w:rsidP="00855BA9">
      <w:pPr>
        <w:pStyle w:val="Bodym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lastRenderedPageBreak/>
        <w:t>2) erialaste teadmiste moodul, mille miinimummaht on 12 EAP-d;</w:t>
      </w:r>
    </w:p>
    <w:p w14:paraId="1C03099C" w14:textId="77777777" w:rsidR="00855BA9" w:rsidRPr="00F66987" w:rsidRDefault="00855BA9" w:rsidP="00855BA9">
      <w:pPr>
        <w:pStyle w:val="Bodym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3) teadustöö moodul. </w:t>
      </w:r>
    </w:p>
    <w:p w14:paraId="1631C4B4" w14:textId="77777777" w:rsidR="00855BA9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Ülekantavate oskustena õpetatakse doktorantidele muuhulgas teadusfilosoofiat ja -eetikat, teadus- ja hariduskorraldust, kõrgkoolididaktikat, karjääriplaneerimist, teadusprojektide kirjutamist ja juhtimist,  ettevõtluskäitumist ja innovatsiooni ning suulist ja kirjalikku eneseväljendusoskust. </w:t>
      </w:r>
    </w:p>
    <w:p w14:paraId="0E53F0C1" w14:textId="394BBA35" w:rsidR="00855BA9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Erialaste teadmiste moodulis valib doktoriõppe üliõpilane doktoritöö teemast lähtuvad erialaspetsiifilised ained. </w:t>
      </w:r>
    </w:p>
    <w:p w14:paraId="302596F8" w14:textId="39B52B12" w:rsidR="00322F00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Teadustöö moodul sisaldab järgmisi teadus-, arendus- ja loometegevusi: seminarid, õpetamine ja juhendamine, publitseerimine, ettekanded teaduskonverentsidel, teaduse populariseerimisega seotud tegevused ja doktoritöö</w:t>
      </w:r>
      <w:r w:rsidR="004B7B1B" w:rsidRPr="00F66987">
        <w:rPr>
          <w:rFonts w:asciiTheme="minorHAnsi" w:hAnsiTheme="minorHAnsi"/>
          <w:sz w:val="22"/>
          <w:szCs w:val="22"/>
        </w:rPr>
        <w:t xml:space="preserve">. </w:t>
      </w:r>
    </w:p>
    <w:p w14:paraId="2D1D7B91" w14:textId="77777777" w:rsidR="00B83FA2" w:rsidRPr="00F66987" w:rsidRDefault="00B83FA2" w:rsidP="00C73D31">
      <w:pPr>
        <w:pStyle w:val="Heading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br/>
        <w:t>ÕPPEKAVA AVAMINE, MUUTMINE JA SULGEMINE</w:t>
      </w:r>
    </w:p>
    <w:p w14:paraId="5F1A2A7D" w14:textId="77777777" w:rsidR="00B83FA2" w:rsidRPr="00F66987" w:rsidRDefault="00075E94" w:rsidP="008D21E0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avamine</w:t>
      </w:r>
    </w:p>
    <w:p w14:paraId="09DCDBD3" w14:textId="77777777" w:rsidR="00D42D5E" w:rsidRPr="00F66987" w:rsidRDefault="00174FD1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avamise eelduseks on eriala sisuline vajadus ning ülikooli piisavad akadeemilised ja materiaalsed ressursid</w:t>
      </w:r>
      <w:r w:rsidR="00D42D5E" w:rsidRPr="00F66987">
        <w:rPr>
          <w:rFonts w:asciiTheme="minorHAnsi" w:hAnsiTheme="minorHAnsi"/>
          <w:sz w:val="22"/>
          <w:szCs w:val="22"/>
        </w:rPr>
        <w:t>.</w:t>
      </w:r>
      <w:r w:rsidRPr="00F66987">
        <w:rPr>
          <w:rFonts w:asciiTheme="minorHAnsi" w:hAnsiTheme="minorHAnsi"/>
          <w:sz w:val="22"/>
          <w:szCs w:val="22"/>
        </w:rPr>
        <w:t xml:space="preserve"> [jõustunud 20.02.2020]</w:t>
      </w:r>
    </w:p>
    <w:p w14:paraId="78E9DC08" w14:textId="77777777" w:rsidR="00E76446" w:rsidRPr="00F66987" w:rsidRDefault="00174FD1" w:rsidP="00174FD1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väljatöötamise algatab ja õppekava koostaja määrab dekaan. Õppekava avamiseks esitab õppekava koostaja õppeprorektorile (doktoriõppe puhul teadusprorektorile) õppekava avamise eeltaotluse hiljemalt õppekava avamisele eelneva kalendriaasta 30. aprilliks, mis sisaldab vähemalt: [jõustunud 20.02.2020]</w:t>
      </w:r>
    </w:p>
    <w:p w14:paraId="3EAB0974" w14:textId="77777777" w:rsidR="00174FD1" w:rsidRPr="00F66987" w:rsidRDefault="00174FD1" w:rsidP="00174FD1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avamise vajalikkuse põhjendust, mh õppekava ajakohasus, kooskõla ühiskondlike arengute ja vajadustega;</w:t>
      </w:r>
    </w:p>
    <w:p w14:paraId="42968C5E" w14:textId="77777777" w:rsidR="00174FD1" w:rsidRPr="00F66987" w:rsidRDefault="00174FD1" w:rsidP="00174FD1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eesmärke ja õpiväljundeid;</w:t>
      </w:r>
    </w:p>
    <w:p w14:paraId="574D0054" w14:textId="25B44D5E" w:rsidR="00174FD1" w:rsidRPr="00F66987" w:rsidRDefault="00174FD1" w:rsidP="0053454E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seoseid olemasolevate õppekavadega, ülikoolisisese koostöö kirjeldust,</w:t>
      </w:r>
      <w:r w:rsidR="0053454E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konkurentsieeliste kirjeldust võrdluses õppekavadega nii Tallinna Tehnikaülikoolis kui teistes Eesti ja välisriikide kõrgkoolides;</w:t>
      </w:r>
    </w:p>
    <w:p w14:paraId="40127753" w14:textId="77777777" w:rsidR="00174FD1" w:rsidRPr="00F66987" w:rsidRDefault="00174FD1" w:rsidP="00174FD1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võimaliku sihtrühma ja lõpetajate tööturuväljundi analüüsi;</w:t>
      </w:r>
    </w:p>
    <w:p w14:paraId="1F7878B5" w14:textId="77777777" w:rsidR="00174FD1" w:rsidRPr="00F66987" w:rsidRDefault="00174FD1" w:rsidP="00174FD1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ressursside kirjeldust (rahastamise allikad, akadeemilised töötajad, võimalikud koostööpartnerid  ja muud vajalikud ressursid).</w:t>
      </w:r>
    </w:p>
    <w:p w14:paraId="3D76682B" w14:textId="522F9DF1" w:rsidR="00EE480B" w:rsidRPr="00F66987" w:rsidRDefault="00E608B7" w:rsidP="00E608B7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väljatöötamise otsustab õppeprorektor (doktoriõppe puhul teadusprorektor) vastava eeltaotluse alusel. [jõustunud 20.02.2020] </w:t>
      </w:r>
    </w:p>
    <w:p w14:paraId="02870DFF" w14:textId="77777777" w:rsidR="00010BBE" w:rsidRPr="00F66987" w:rsidRDefault="00C932A7" w:rsidP="00E75CAD">
      <w:pPr>
        <w:pStyle w:val="Bodym"/>
        <w:rPr>
          <w:rFonts w:asciiTheme="minorHAnsi" w:hAnsiTheme="minorHAnsi"/>
          <w:sz w:val="22"/>
          <w:szCs w:val="22"/>
        </w:rPr>
      </w:pPr>
      <w:proofErr w:type="spellStart"/>
      <w:r w:rsidRPr="00F66987">
        <w:rPr>
          <w:rFonts w:asciiTheme="minorHAnsi" w:hAnsiTheme="minorHAnsi"/>
          <w:sz w:val="22"/>
          <w:szCs w:val="22"/>
        </w:rPr>
        <w:t>Ü</w:t>
      </w:r>
      <w:r w:rsidR="00010BBE" w:rsidRPr="00F66987">
        <w:rPr>
          <w:rFonts w:asciiTheme="minorHAnsi" w:hAnsiTheme="minorHAnsi"/>
          <w:sz w:val="22"/>
          <w:szCs w:val="22"/>
        </w:rPr>
        <w:t>hisõppekava</w:t>
      </w:r>
      <w:proofErr w:type="spellEnd"/>
      <w:r w:rsidR="00010BBE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avamiseks esitatakse</w:t>
      </w:r>
      <w:r w:rsidR="00010BBE" w:rsidRPr="00F66987">
        <w:rPr>
          <w:rFonts w:asciiTheme="minorHAnsi" w:hAnsiTheme="minorHAnsi"/>
          <w:sz w:val="22"/>
          <w:szCs w:val="22"/>
        </w:rPr>
        <w:t xml:space="preserve"> l</w:t>
      </w:r>
      <w:r w:rsidR="00716BC9" w:rsidRPr="00F66987">
        <w:rPr>
          <w:rFonts w:asciiTheme="minorHAnsi" w:hAnsiTheme="minorHAnsi"/>
          <w:sz w:val="22"/>
          <w:szCs w:val="22"/>
        </w:rPr>
        <w:t xml:space="preserve">isaks </w:t>
      </w:r>
      <w:r w:rsidRPr="00F66987">
        <w:rPr>
          <w:rFonts w:asciiTheme="minorHAnsi" w:hAnsiTheme="minorHAnsi"/>
          <w:sz w:val="22"/>
          <w:szCs w:val="22"/>
        </w:rPr>
        <w:t xml:space="preserve">eeltaotlusele </w:t>
      </w:r>
      <w:r w:rsidR="00010BBE" w:rsidRPr="00F66987">
        <w:rPr>
          <w:rFonts w:asciiTheme="minorHAnsi" w:hAnsiTheme="minorHAnsi"/>
          <w:sz w:val="22"/>
          <w:szCs w:val="22"/>
        </w:rPr>
        <w:t>partnerkõrgkooli(de) nõusolek, sh</w:t>
      </w:r>
      <w:r w:rsidR="00D6696F" w:rsidRPr="00F66987">
        <w:rPr>
          <w:rFonts w:asciiTheme="minorHAnsi" w:hAnsiTheme="minorHAnsi"/>
          <w:sz w:val="22"/>
          <w:szCs w:val="22"/>
        </w:rPr>
        <w:t> </w:t>
      </w:r>
      <w:r w:rsidR="00010BBE" w:rsidRPr="00F66987">
        <w:rPr>
          <w:rFonts w:asciiTheme="minorHAnsi" w:hAnsiTheme="minorHAnsi"/>
          <w:sz w:val="22"/>
          <w:szCs w:val="22"/>
        </w:rPr>
        <w:t xml:space="preserve">kokkulepe õppekava rahastamisskeemi ja vastuvõtu planeerimise kohta. Kui </w:t>
      </w:r>
      <w:proofErr w:type="spellStart"/>
      <w:r w:rsidR="00010BBE" w:rsidRPr="00F66987">
        <w:rPr>
          <w:rFonts w:asciiTheme="minorHAnsi" w:hAnsiTheme="minorHAnsi"/>
          <w:sz w:val="22"/>
          <w:szCs w:val="22"/>
        </w:rPr>
        <w:t>ühisõppekava</w:t>
      </w:r>
      <w:proofErr w:type="spellEnd"/>
      <w:r w:rsidR="00010BBE" w:rsidRPr="00F66987">
        <w:rPr>
          <w:rFonts w:asciiTheme="minorHAnsi" w:hAnsiTheme="minorHAnsi"/>
          <w:sz w:val="22"/>
          <w:szCs w:val="22"/>
        </w:rPr>
        <w:t xml:space="preserve"> avamiseks kasutatakse rahastust ülikoolivälistest va</w:t>
      </w:r>
      <w:r w:rsidRPr="00F66987">
        <w:rPr>
          <w:rFonts w:asciiTheme="minorHAnsi" w:hAnsiTheme="minorHAnsi"/>
          <w:sz w:val="22"/>
          <w:szCs w:val="22"/>
        </w:rPr>
        <w:t xml:space="preserve">henditest, tuleb </w:t>
      </w:r>
      <w:r w:rsidR="00010BBE" w:rsidRPr="00F66987">
        <w:rPr>
          <w:rFonts w:asciiTheme="minorHAnsi" w:hAnsiTheme="minorHAnsi"/>
          <w:sz w:val="22"/>
          <w:szCs w:val="22"/>
        </w:rPr>
        <w:t xml:space="preserve">eeltaotlus </w:t>
      </w:r>
      <w:r w:rsidRPr="00F66987">
        <w:rPr>
          <w:rFonts w:asciiTheme="minorHAnsi" w:hAnsiTheme="minorHAnsi"/>
          <w:sz w:val="22"/>
          <w:szCs w:val="22"/>
        </w:rPr>
        <w:t xml:space="preserve">koos partnerite nõusolekutega </w:t>
      </w:r>
      <w:r w:rsidR="00010BBE" w:rsidRPr="00F66987">
        <w:rPr>
          <w:rFonts w:asciiTheme="minorHAnsi" w:hAnsiTheme="minorHAnsi"/>
          <w:sz w:val="22"/>
          <w:szCs w:val="22"/>
        </w:rPr>
        <w:t>esitada õppeprorektorile enne finantseerimistaotluse esitamist.</w:t>
      </w:r>
    </w:p>
    <w:p w14:paraId="012D8647" w14:textId="1DC6E4E8" w:rsidR="00E608B7" w:rsidRPr="00F66987" w:rsidRDefault="00E608B7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Õppeprorektor (doktoriõppe puhul teadusprorektor) korraldab eeltaotluse hindamise 1 kuu jooksul. [jõustunud 20.02.2020]</w:t>
      </w:r>
    </w:p>
    <w:p w14:paraId="6C36C081" w14:textId="2E0F98F1" w:rsidR="000E3B89" w:rsidRPr="00F66987" w:rsidRDefault="00E608B7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Positiivse hinnangu saanud eeltaotluse põhjal kinnitab õppeprorektor dekaani esildise alusel programminõukoja ja programmijuhi, kelle ülesanne on koostada õppeinfosüsteemis õppeprogrammi aluseks olev õppekava ja valmistada ette õppeprogrammi käivitamine. [jõustunud 20.02.2020] </w:t>
      </w:r>
    </w:p>
    <w:p w14:paraId="0B84051C" w14:textId="77777777" w:rsidR="00865C02" w:rsidRPr="00F66987" w:rsidRDefault="00865C02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Õppekavas sisalduvad õppeained tuleb kooskõlastada õppetööd läbi viiva</w:t>
      </w:r>
      <w:r w:rsidR="00E76446" w:rsidRPr="00F66987">
        <w:rPr>
          <w:rFonts w:asciiTheme="minorHAnsi" w:hAnsiTheme="minorHAnsi"/>
          <w:sz w:val="22"/>
          <w:szCs w:val="22"/>
        </w:rPr>
        <w:t>te</w:t>
      </w:r>
      <w:r w:rsidRPr="00F66987">
        <w:rPr>
          <w:rFonts w:asciiTheme="minorHAnsi" w:hAnsiTheme="minorHAnsi"/>
          <w:sz w:val="22"/>
          <w:szCs w:val="22"/>
        </w:rPr>
        <w:t xml:space="preserve"> struktuuriüksus</w:t>
      </w:r>
      <w:r w:rsidR="00E76446" w:rsidRPr="00F66987">
        <w:rPr>
          <w:rFonts w:asciiTheme="minorHAnsi" w:hAnsiTheme="minorHAnsi"/>
          <w:sz w:val="22"/>
          <w:szCs w:val="22"/>
        </w:rPr>
        <w:t>t</w:t>
      </w:r>
      <w:r w:rsidRPr="00F66987">
        <w:rPr>
          <w:rFonts w:asciiTheme="minorHAnsi" w:hAnsiTheme="minorHAnsi"/>
          <w:sz w:val="22"/>
          <w:szCs w:val="22"/>
        </w:rPr>
        <w:t>e juh</w:t>
      </w:r>
      <w:r w:rsidR="00E76446" w:rsidRPr="00F66987">
        <w:rPr>
          <w:rFonts w:asciiTheme="minorHAnsi" w:hAnsiTheme="minorHAnsi"/>
          <w:sz w:val="22"/>
          <w:szCs w:val="22"/>
        </w:rPr>
        <w:t>tide</w:t>
      </w:r>
      <w:r w:rsidRPr="00F66987">
        <w:rPr>
          <w:rFonts w:asciiTheme="minorHAnsi" w:hAnsiTheme="minorHAnsi"/>
          <w:sz w:val="22"/>
          <w:szCs w:val="22"/>
        </w:rPr>
        <w:t>ga.</w:t>
      </w:r>
    </w:p>
    <w:p w14:paraId="62C4BA8B" w14:textId="3FF94E6F" w:rsidR="00EE480B" w:rsidRPr="00F66987" w:rsidRDefault="00E608B7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Programmijuht esitab õppeosakonnale teaduskonna nõukogu poolt heaks kiidetud õppekava kavandi, millele lisab:</w:t>
      </w:r>
      <w:r w:rsidR="00D122F8" w:rsidRPr="00F66987">
        <w:rPr>
          <w:rFonts w:asciiTheme="minorHAnsi" w:hAnsiTheme="minorHAnsi"/>
          <w:sz w:val="22"/>
          <w:szCs w:val="22"/>
        </w:rPr>
        <w:t xml:space="preserve"> </w:t>
      </w:r>
      <w:r w:rsidR="00AA7184" w:rsidRPr="00F66987">
        <w:rPr>
          <w:rFonts w:asciiTheme="minorHAnsi" w:hAnsiTheme="minorHAnsi"/>
          <w:sz w:val="22"/>
          <w:szCs w:val="22"/>
        </w:rPr>
        <w:t xml:space="preserve">[jõustunud </w:t>
      </w:r>
      <w:r w:rsidRPr="00F66987">
        <w:rPr>
          <w:rFonts w:asciiTheme="minorHAnsi" w:hAnsiTheme="minorHAnsi"/>
          <w:sz w:val="22"/>
          <w:szCs w:val="22"/>
        </w:rPr>
        <w:t>20.02.2020</w:t>
      </w:r>
      <w:r w:rsidR="00AA7184" w:rsidRPr="00F66987">
        <w:rPr>
          <w:rFonts w:asciiTheme="minorHAnsi" w:hAnsiTheme="minorHAnsi"/>
          <w:sz w:val="22"/>
          <w:szCs w:val="22"/>
        </w:rPr>
        <w:t>]</w:t>
      </w:r>
    </w:p>
    <w:p w14:paraId="30354941" w14:textId="77777777" w:rsidR="00EE480B" w:rsidRPr="00F66987" w:rsidRDefault="00B73470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t</w:t>
      </w:r>
      <w:r w:rsidR="000E138A" w:rsidRPr="00F66987">
        <w:rPr>
          <w:rFonts w:asciiTheme="minorHAnsi" w:hAnsiTheme="minorHAnsi"/>
          <w:sz w:val="22"/>
          <w:szCs w:val="22"/>
        </w:rPr>
        <w:t xml:space="preserve">eaduskonna </w:t>
      </w:r>
      <w:r w:rsidR="00EE480B" w:rsidRPr="00F66987">
        <w:rPr>
          <w:rFonts w:asciiTheme="minorHAnsi" w:hAnsiTheme="minorHAnsi"/>
          <w:sz w:val="22"/>
          <w:szCs w:val="22"/>
        </w:rPr>
        <w:t>nõukogu otsuse õppekava avamise</w:t>
      </w:r>
      <w:r w:rsidR="009610A3" w:rsidRPr="00F66987">
        <w:rPr>
          <w:rFonts w:asciiTheme="minorHAnsi" w:hAnsiTheme="minorHAnsi"/>
          <w:sz w:val="22"/>
          <w:szCs w:val="22"/>
        </w:rPr>
        <w:t xml:space="preserve"> kohta</w:t>
      </w:r>
      <w:r w:rsidR="00EE480B" w:rsidRPr="00F66987">
        <w:rPr>
          <w:rFonts w:asciiTheme="minorHAnsi" w:hAnsiTheme="minorHAnsi"/>
          <w:sz w:val="22"/>
          <w:szCs w:val="22"/>
        </w:rPr>
        <w:t xml:space="preserve">, kinnitades </w:t>
      </w:r>
      <w:r w:rsidR="00E75CAD" w:rsidRPr="00F66987">
        <w:rPr>
          <w:rFonts w:asciiTheme="minorHAnsi" w:hAnsiTheme="minorHAnsi"/>
          <w:sz w:val="22"/>
          <w:szCs w:val="22"/>
        </w:rPr>
        <w:t xml:space="preserve">vajaliku </w:t>
      </w:r>
      <w:proofErr w:type="spellStart"/>
      <w:r w:rsidR="008A05AB" w:rsidRPr="00F66987">
        <w:rPr>
          <w:rFonts w:asciiTheme="minorHAnsi" w:hAnsiTheme="minorHAnsi"/>
          <w:sz w:val="22"/>
          <w:szCs w:val="22"/>
        </w:rPr>
        <w:t>rahastuse</w:t>
      </w:r>
      <w:proofErr w:type="spellEnd"/>
      <w:r w:rsidR="008A05AB" w:rsidRPr="00F66987">
        <w:rPr>
          <w:rFonts w:asciiTheme="minorHAnsi" w:hAnsiTheme="minorHAnsi"/>
          <w:sz w:val="22"/>
          <w:szCs w:val="22"/>
        </w:rPr>
        <w:t xml:space="preserve"> olemasolu</w:t>
      </w:r>
      <w:r w:rsidR="00EE480B" w:rsidRPr="00F66987">
        <w:rPr>
          <w:rFonts w:asciiTheme="minorHAnsi" w:hAnsiTheme="minorHAnsi"/>
          <w:sz w:val="22"/>
          <w:szCs w:val="22"/>
        </w:rPr>
        <w:t>;</w:t>
      </w:r>
      <w:r w:rsidR="00AA7184" w:rsidRPr="00F66987">
        <w:rPr>
          <w:rFonts w:asciiTheme="minorHAnsi" w:hAnsiTheme="minorHAnsi"/>
          <w:sz w:val="22"/>
          <w:szCs w:val="22"/>
        </w:rPr>
        <w:t xml:space="preserve"> [jõustunud 21.03.2017]</w:t>
      </w:r>
    </w:p>
    <w:p w14:paraId="07480587" w14:textId="77777777" w:rsidR="00EE480B" w:rsidRPr="00F66987" w:rsidRDefault="00EE480B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õppetööd läbiviivate õppejõudude nimekirja, koos andmetega nende kvalifikatsiooni kohta;</w:t>
      </w:r>
    </w:p>
    <w:p w14:paraId="7108C762" w14:textId="77777777" w:rsidR="00EE480B" w:rsidRPr="00F66987" w:rsidRDefault="00EE480B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õpiväljundite võrdluse kõrgharidusstandardis nimetatud </w:t>
      </w:r>
      <w:r w:rsidR="00E75CAD" w:rsidRPr="00F66987">
        <w:rPr>
          <w:rFonts w:asciiTheme="minorHAnsi" w:hAnsiTheme="minorHAnsi"/>
          <w:sz w:val="22"/>
          <w:szCs w:val="22"/>
        </w:rPr>
        <w:t>vastava kõrgharidus</w:t>
      </w:r>
      <w:r w:rsidRPr="00F66987">
        <w:rPr>
          <w:rFonts w:asciiTheme="minorHAnsi" w:hAnsiTheme="minorHAnsi"/>
          <w:sz w:val="22"/>
          <w:szCs w:val="22"/>
        </w:rPr>
        <w:t>astme õpiväljunditega;</w:t>
      </w:r>
    </w:p>
    <w:p w14:paraId="78D5F568" w14:textId="77777777" w:rsidR="009610A3" w:rsidRPr="00F66987" w:rsidRDefault="00EE480B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seletuskirja</w:t>
      </w:r>
      <w:r w:rsidR="00D42D5E" w:rsidRPr="00F66987">
        <w:rPr>
          <w:rFonts w:asciiTheme="minorHAnsi" w:hAnsiTheme="minorHAnsi"/>
          <w:sz w:val="22"/>
          <w:szCs w:val="22"/>
        </w:rPr>
        <w:t xml:space="preserve">, milles sisaldub põhjendus </w:t>
      </w:r>
      <w:r w:rsidRPr="00F66987">
        <w:rPr>
          <w:rFonts w:asciiTheme="minorHAnsi" w:hAnsiTheme="minorHAnsi"/>
          <w:sz w:val="22"/>
          <w:szCs w:val="22"/>
        </w:rPr>
        <w:t>uue õppekava avamiseks ning ülevaa</w:t>
      </w:r>
      <w:r w:rsidR="00D42D5E" w:rsidRPr="00F66987">
        <w:rPr>
          <w:rFonts w:asciiTheme="minorHAnsi" w:hAnsiTheme="minorHAnsi"/>
          <w:sz w:val="22"/>
          <w:szCs w:val="22"/>
        </w:rPr>
        <w:t>de</w:t>
      </w:r>
      <w:r w:rsidRPr="00F66987">
        <w:rPr>
          <w:rFonts w:asciiTheme="minorHAnsi" w:hAnsiTheme="minorHAnsi"/>
          <w:sz w:val="22"/>
          <w:szCs w:val="22"/>
        </w:rPr>
        <w:t xml:space="preserve"> õppekava avamisega kaasnevate </w:t>
      </w:r>
      <w:r w:rsidR="009610A3" w:rsidRPr="00F66987">
        <w:rPr>
          <w:rFonts w:asciiTheme="minorHAnsi" w:hAnsiTheme="minorHAnsi"/>
          <w:sz w:val="22"/>
          <w:szCs w:val="22"/>
        </w:rPr>
        <w:t xml:space="preserve">täiendavate </w:t>
      </w:r>
      <w:r w:rsidRPr="00F66987">
        <w:rPr>
          <w:rFonts w:asciiTheme="minorHAnsi" w:hAnsiTheme="minorHAnsi"/>
          <w:sz w:val="22"/>
          <w:szCs w:val="22"/>
        </w:rPr>
        <w:t>ressursside vajaduse ja kavandatava  üliõpilaste vastuvõtuarvu kohta;</w:t>
      </w:r>
      <w:r w:rsidR="003E61C1" w:rsidRPr="00F66987" w:rsidDel="003E61C1">
        <w:rPr>
          <w:rFonts w:asciiTheme="minorHAnsi" w:hAnsiTheme="minorHAnsi"/>
          <w:sz w:val="22"/>
          <w:szCs w:val="22"/>
        </w:rPr>
        <w:t xml:space="preserve"> </w:t>
      </w:r>
    </w:p>
    <w:p w14:paraId="43348BE5" w14:textId="146B7496" w:rsidR="00010BBE" w:rsidRPr="00F66987" w:rsidRDefault="00E867E3" w:rsidP="00945594">
      <w:pPr>
        <w:pStyle w:val="Bodym1"/>
        <w:rPr>
          <w:rFonts w:asciiTheme="minorHAnsi" w:hAnsiTheme="minorHAnsi"/>
          <w:sz w:val="22"/>
          <w:szCs w:val="22"/>
        </w:rPr>
      </w:pPr>
      <w:proofErr w:type="spellStart"/>
      <w:r w:rsidRPr="00F66987">
        <w:lastRenderedPageBreak/>
        <w:t>ühisõppekava</w:t>
      </w:r>
      <w:proofErr w:type="spellEnd"/>
      <w:r w:rsidRPr="00F66987">
        <w:t xml:space="preserve"> korral kõrgharidusseaduses sätestatud nõuetele vastava koostöölepingu projekti</w:t>
      </w:r>
      <w:r w:rsidRPr="00F66987">
        <w:rPr>
          <w:rFonts w:asciiTheme="minorHAnsi" w:hAnsiTheme="minorHAnsi"/>
          <w:sz w:val="22"/>
          <w:szCs w:val="22"/>
        </w:rPr>
        <w:t>. [jõustunud 20.02.2020]</w:t>
      </w:r>
    </w:p>
    <w:p w14:paraId="51E7A66F" w14:textId="77777777" w:rsidR="00C77722" w:rsidRPr="00F66987" w:rsidRDefault="00EE480B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Õppeosakond</w:t>
      </w:r>
      <w:r w:rsidR="00C77722" w:rsidRPr="00F66987">
        <w:rPr>
          <w:rFonts w:asciiTheme="minorHAnsi" w:hAnsiTheme="minorHAnsi"/>
          <w:sz w:val="22"/>
          <w:szCs w:val="22"/>
        </w:rPr>
        <w:t>:</w:t>
      </w:r>
    </w:p>
    <w:p w14:paraId="3EE8CCC9" w14:textId="77777777" w:rsidR="00EE480B" w:rsidRPr="00F66987" w:rsidRDefault="00EE480B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kontrollib õppekava vastavust nõuetele</w:t>
      </w:r>
      <w:r w:rsidR="00906967" w:rsidRPr="00F66987">
        <w:rPr>
          <w:rFonts w:asciiTheme="minorHAnsi" w:hAnsiTheme="minorHAnsi"/>
          <w:sz w:val="22"/>
          <w:szCs w:val="22"/>
        </w:rPr>
        <w:t>;</w:t>
      </w:r>
    </w:p>
    <w:p w14:paraId="04051A68" w14:textId="7BA161AA" w:rsidR="00C77722" w:rsidRPr="00F66987" w:rsidRDefault="00E47126" w:rsidP="00945594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hangib</w:t>
      </w:r>
      <w:r w:rsidR="009D0A6A" w:rsidRPr="00F66987">
        <w:rPr>
          <w:rFonts w:asciiTheme="minorHAnsi" w:hAnsiTheme="minorHAnsi"/>
          <w:sz w:val="22"/>
          <w:szCs w:val="22"/>
        </w:rPr>
        <w:t xml:space="preserve"> kaks</w:t>
      </w:r>
      <w:r w:rsidR="00C77722" w:rsidRPr="00F66987">
        <w:rPr>
          <w:rFonts w:asciiTheme="minorHAnsi" w:hAnsiTheme="minorHAnsi"/>
          <w:sz w:val="22"/>
          <w:szCs w:val="22"/>
        </w:rPr>
        <w:t xml:space="preserve"> </w:t>
      </w:r>
      <w:r w:rsidR="009D0A6A" w:rsidRPr="00F66987">
        <w:rPr>
          <w:rFonts w:asciiTheme="minorHAnsi" w:hAnsiTheme="minorHAnsi"/>
          <w:sz w:val="22"/>
          <w:szCs w:val="22"/>
        </w:rPr>
        <w:t xml:space="preserve">eksperthinnangut </w:t>
      </w:r>
      <w:r w:rsidRPr="00F66987">
        <w:rPr>
          <w:rFonts w:asciiTheme="minorHAnsi" w:hAnsiTheme="minorHAnsi"/>
          <w:sz w:val="22"/>
          <w:szCs w:val="22"/>
        </w:rPr>
        <w:t>õppekava kohta</w:t>
      </w:r>
      <w:r w:rsidR="002F37B7" w:rsidRPr="00F66987">
        <w:rPr>
          <w:rFonts w:asciiTheme="minorHAnsi" w:hAnsiTheme="minorHAnsi"/>
          <w:sz w:val="22"/>
          <w:szCs w:val="22"/>
        </w:rPr>
        <w:t xml:space="preserve"> valdkonna erialaliitudelt,</w:t>
      </w:r>
      <w:r w:rsidR="00C77722" w:rsidRPr="00F66987">
        <w:rPr>
          <w:rFonts w:asciiTheme="minorHAnsi" w:hAnsiTheme="minorHAnsi"/>
          <w:sz w:val="22"/>
          <w:szCs w:val="22"/>
        </w:rPr>
        <w:t xml:space="preserve"> tööandjatelt</w:t>
      </w:r>
      <w:r w:rsidR="002F37B7" w:rsidRPr="00F66987">
        <w:rPr>
          <w:rFonts w:asciiTheme="minorHAnsi" w:hAnsiTheme="minorHAnsi"/>
          <w:sz w:val="22"/>
          <w:szCs w:val="22"/>
        </w:rPr>
        <w:t xml:space="preserve"> või</w:t>
      </w:r>
      <w:r w:rsidR="00C77722" w:rsidRPr="00F66987">
        <w:rPr>
          <w:rFonts w:asciiTheme="minorHAnsi" w:hAnsiTheme="minorHAnsi"/>
          <w:sz w:val="22"/>
          <w:szCs w:val="22"/>
        </w:rPr>
        <w:t xml:space="preserve"> Eesti ja/või välisriigi tunnustatud kõrgkoolidelt</w:t>
      </w:r>
      <w:r w:rsidR="00906967" w:rsidRPr="00F66987">
        <w:rPr>
          <w:rFonts w:asciiTheme="minorHAnsi" w:hAnsiTheme="minorHAnsi"/>
          <w:sz w:val="22"/>
          <w:szCs w:val="22"/>
        </w:rPr>
        <w:t>;</w:t>
      </w:r>
    </w:p>
    <w:p w14:paraId="792CABB8" w14:textId="6F85751D" w:rsidR="00E867E3" w:rsidRPr="00F66987" w:rsidRDefault="00E867E3" w:rsidP="00E867E3">
      <w:pPr>
        <w:pStyle w:val="Bodym1"/>
        <w:rPr>
          <w:rFonts w:asciiTheme="minorHAnsi" w:hAnsiTheme="minorHAnsi" w:cstheme="minorHAnsi"/>
          <w:sz w:val="22"/>
          <w:szCs w:val="22"/>
        </w:rPr>
      </w:pPr>
      <w:r w:rsidRPr="00F66987">
        <w:rPr>
          <w:rFonts w:asciiTheme="minorHAnsi" w:hAnsiTheme="minorHAnsi" w:cstheme="minorHAnsi"/>
          <w:sz w:val="22"/>
          <w:szCs w:val="22"/>
        </w:rPr>
        <w:t>koostab ülikooli senati otsuse kavandi, mille edastab koos käesoleva paragrahvi lõikes 8  nimetatud dokumentidega õppeprorektorile (doktoriõppe puhul teadusprorektorile), kes otsustab õppekava esitamise ülikooli senatile. [jõustunud 20.02.2020]</w:t>
      </w:r>
    </w:p>
    <w:p w14:paraId="7AB6F584" w14:textId="53C3DE8D" w:rsidR="00066EE8" w:rsidRPr="00F66987" w:rsidRDefault="00E867E3" w:rsidP="00E867E3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kinnitab ülikooli senat, kuulates ära õppekomisjoni (doktoriõppe puhul lisaks ka teaduskomisjoni) seisukoha. [jõustunud 20.02.2020]</w:t>
      </w:r>
    </w:p>
    <w:p w14:paraId="57F5B2E7" w14:textId="77777777" w:rsidR="00EE480B" w:rsidRPr="00F66987" w:rsidRDefault="00066EE8" w:rsidP="00F536C7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Põhjendatud juhtudel võib ülikooli </w:t>
      </w:r>
      <w:r w:rsidR="00816BB6" w:rsidRPr="00F66987">
        <w:rPr>
          <w:rFonts w:asciiTheme="minorHAnsi" w:hAnsiTheme="minorHAnsi"/>
          <w:sz w:val="22"/>
          <w:szCs w:val="22"/>
        </w:rPr>
        <w:t>senat</w:t>
      </w:r>
      <w:r w:rsidRPr="00F66987">
        <w:rPr>
          <w:rFonts w:asciiTheme="minorHAnsi" w:hAnsiTheme="minorHAnsi"/>
          <w:sz w:val="22"/>
          <w:szCs w:val="22"/>
        </w:rPr>
        <w:t xml:space="preserve"> õppekavade kinnitamisel lubada erisus</w:t>
      </w:r>
      <w:r w:rsidR="007B6F40" w:rsidRPr="00F66987">
        <w:rPr>
          <w:rFonts w:asciiTheme="minorHAnsi" w:hAnsiTheme="minorHAnsi"/>
          <w:sz w:val="22"/>
          <w:szCs w:val="22"/>
        </w:rPr>
        <w:t>i statuudis nimetatud nõuetest.</w:t>
      </w:r>
      <w:r w:rsidR="00BB723E" w:rsidRPr="00F66987">
        <w:rPr>
          <w:rFonts w:asciiTheme="minorHAnsi" w:hAnsiTheme="minorHAnsi"/>
          <w:sz w:val="22"/>
          <w:szCs w:val="22"/>
        </w:rPr>
        <w:t xml:space="preserve"> [jõustunud 01.11.2019]</w:t>
      </w:r>
    </w:p>
    <w:p w14:paraId="07DD1BC4" w14:textId="77777777" w:rsidR="00EE480B" w:rsidRPr="00F66987" w:rsidRDefault="00EE480B" w:rsidP="00D6696F">
      <w:pPr>
        <w:pStyle w:val="Bodym"/>
        <w:spacing w:after="12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avamiseks, mille vastuvõttu planeeritakse järgmisest õppeaastast, tuleb esitada nõutud dokumend</w:t>
      </w:r>
      <w:r w:rsidR="002123EB" w:rsidRPr="00F66987">
        <w:rPr>
          <w:rFonts w:asciiTheme="minorHAnsi" w:hAnsiTheme="minorHAnsi"/>
          <w:sz w:val="22"/>
          <w:szCs w:val="22"/>
        </w:rPr>
        <w:t>id käesoleva paragrahvi lõikes</w:t>
      </w:r>
      <w:r w:rsidRPr="00F66987">
        <w:rPr>
          <w:rFonts w:asciiTheme="minorHAnsi" w:hAnsiTheme="minorHAnsi"/>
          <w:sz w:val="22"/>
          <w:szCs w:val="22"/>
        </w:rPr>
        <w:t xml:space="preserve"> </w:t>
      </w:r>
      <w:r w:rsidR="00A16CE2" w:rsidRPr="00F66987">
        <w:rPr>
          <w:rFonts w:asciiTheme="minorHAnsi" w:hAnsiTheme="minorHAnsi"/>
          <w:sz w:val="22"/>
          <w:szCs w:val="22"/>
        </w:rPr>
        <w:t>9</w:t>
      </w:r>
      <w:r w:rsidR="00B44A7E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nimetatud toimingute läbiviimiseks alljärgnevalt: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08"/>
        <w:gridCol w:w="1841"/>
        <w:gridCol w:w="3061"/>
      </w:tblGrid>
      <w:tr w:rsidR="00F66987" w:rsidRPr="00F66987" w14:paraId="3B6E9E90" w14:textId="77777777" w:rsidTr="00D6696F">
        <w:trPr>
          <w:trHeight w:val="366"/>
        </w:trPr>
        <w:tc>
          <w:tcPr>
            <w:tcW w:w="4433" w:type="dxa"/>
            <w:gridSpan w:val="2"/>
            <w:tcBorders>
              <w:top w:val="single" w:sz="4" w:space="0" w:color="595959"/>
              <w:left w:val="single" w:sz="4" w:space="0" w:color="595959"/>
              <w:bottom w:val="single" w:sz="6" w:space="0" w:color="auto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14:paraId="487EEB7F" w14:textId="77777777" w:rsidR="00EE480B" w:rsidRPr="00F66987" w:rsidRDefault="00EE480B" w:rsidP="00D6696F">
            <w:pPr>
              <w:pStyle w:val="Bodym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>Õppekava</w:t>
            </w:r>
          </w:p>
        </w:tc>
        <w:tc>
          <w:tcPr>
            <w:tcW w:w="1841" w:type="dxa"/>
            <w:tcBorders>
              <w:top w:val="single" w:sz="4" w:space="0" w:color="595959"/>
              <w:left w:val="single" w:sz="6" w:space="0" w:color="595959"/>
              <w:bottom w:val="single" w:sz="6" w:space="0" w:color="auto"/>
              <w:right w:val="single" w:sz="6" w:space="0" w:color="595959"/>
            </w:tcBorders>
            <w:shd w:val="clear" w:color="auto" w:fill="F2F2F2" w:themeFill="background1" w:themeFillShade="F2"/>
          </w:tcPr>
          <w:p w14:paraId="481D30F1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Õppeosakonnale </w:t>
            </w:r>
          </w:p>
        </w:tc>
        <w:tc>
          <w:tcPr>
            <w:tcW w:w="3061" w:type="dxa"/>
            <w:tcBorders>
              <w:top w:val="single" w:sz="4" w:space="0" w:color="595959"/>
              <w:left w:val="single" w:sz="6" w:space="0" w:color="595959"/>
              <w:bottom w:val="single" w:sz="6" w:space="0" w:color="auto"/>
              <w:right w:val="single" w:sz="4" w:space="0" w:color="595959"/>
            </w:tcBorders>
            <w:shd w:val="clear" w:color="auto" w:fill="F2F2F2" w:themeFill="background1" w:themeFillShade="F2"/>
          </w:tcPr>
          <w:p w14:paraId="22EB642C" w14:textId="295AD5F6" w:rsidR="00EE480B" w:rsidRPr="00F66987" w:rsidRDefault="00BB723E" w:rsidP="00E867E3">
            <w:pPr>
              <w:pStyle w:val="Bodym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Ülikooli senatis </w:t>
            </w:r>
            <w:r w:rsidR="00EE480B" w:rsidRPr="00F66987">
              <w:rPr>
                <w:rFonts w:asciiTheme="minorHAnsi" w:hAnsiTheme="minorHAnsi"/>
                <w:sz w:val="22"/>
                <w:szCs w:val="22"/>
              </w:rPr>
              <w:t>kin</w:t>
            </w:r>
            <w:r w:rsidR="00E867E3" w:rsidRPr="00F66987">
              <w:rPr>
                <w:rFonts w:asciiTheme="minorHAnsi" w:hAnsiTheme="minorHAnsi"/>
                <w:sz w:val="22"/>
                <w:szCs w:val="22"/>
              </w:rPr>
              <w:t>nitamine</w:t>
            </w:r>
            <w:r w:rsidRPr="00F66987">
              <w:rPr>
                <w:rFonts w:asciiTheme="minorHAnsi" w:hAnsiTheme="minorHAnsi"/>
                <w:sz w:val="22"/>
                <w:szCs w:val="22"/>
              </w:rPr>
              <w:t xml:space="preserve"> [jõustunud </w:t>
            </w:r>
            <w:r w:rsidR="00E867E3" w:rsidRPr="00F66987">
              <w:rPr>
                <w:rFonts w:asciiTheme="minorHAnsi" w:hAnsiTheme="minorHAnsi"/>
                <w:sz w:val="22"/>
                <w:szCs w:val="22"/>
              </w:rPr>
              <w:t>20.02.2020</w:t>
            </w:r>
            <w:r w:rsidRPr="00F66987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F66987" w:rsidRPr="00F66987" w14:paraId="13491A5F" w14:textId="77777777" w:rsidTr="00D6696F">
        <w:trPr>
          <w:trHeight w:val="283"/>
        </w:trPr>
        <w:tc>
          <w:tcPr>
            <w:tcW w:w="525" w:type="dxa"/>
            <w:tcBorders>
              <w:top w:val="single" w:sz="6" w:space="0" w:color="auto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1DC5C518" w14:textId="77777777" w:rsidR="00EE480B" w:rsidRPr="00F66987" w:rsidRDefault="00EE480B" w:rsidP="00D6696F">
            <w:pPr>
              <w:pStyle w:val="Bodym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4726E7D6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66987">
              <w:rPr>
                <w:rFonts w:asciiTheme="minorHAnsi" w:hAnsiTheme="minorHAnsi"/>
                <w:sz w:val="22"/>
                <w:szCs w:val="22"/>
              </w:rPr>
              <w:t>Ühisõppekava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3A98C679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1. oktoober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595959"/>
              <w:bottom w:val="single" w:sz="6" w:space="0" w:color="595959"/>
              <w:right w:val="single" w:sz="4" w:space="0" w:color="595959"/>
            </w:tcBorders>
          </w:tcPr>
          <w:p w14:paraId="1202DF9C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>9 kuud enne õppeaasta algust</w:t>
            </w:r>
          </w:p>
        </w:tc>
      </w:tr>
      <w:tr w:rsidR="00F66987" w:rsidRPr="00F66987" w14:paraId="700A6808" w14:textId="77777777" w:rsidTr="00D6696F">
        <w:trPr>
          <w:trHeight w:val="283"/>
        </w:trPr>
        <w:tc>
          <w:tcPr>
            <w:tcW w:w="525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768578EA" w14:textId="77777777" w:rsidR="00EE480B" w:rsidRPr="00F66987" w:rsidRDefault="00EE480B" w:rsidP="00D6696F">
            <w:pPr>
              <w:pStyle w:val="Bodym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797C9101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>Rahvusvaheline õppekava</w:t>
            </w:r>
          </w:p>
        </w:tc>
        <w:tc>
          <w:tcPr>
            <w:tcW w:w="1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3AD3D810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1. oktoober </w:t>
            </w:r>
          </w:p>
        </w:tc>
        <w:tc>
          <w:tcPr>
            <w:tcW w:w="306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</w:tcPr>
          <w:p w14:paraId="6C14ABA9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>9 kuud enne õppeaasta algust</w:t>
            </w:r>
            <w:r w:rsidRPr="00F66987" w:rsidDel="002C29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66987" w:rsidRPr="00F66987" w14:paraId="30698DC8" w14:textId="77777777" w:rsidTr="00D6696F">
        <w:tc>
          <w:tcPr>
            <w:tcW w:w="525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5A45DBA3" w14:textId="77777777" w:rsidR="00EE480B" w:rsidRPr="00F66987" w:rsidRDefault="00EE480B" w:rsidP="00D6696F">
            <w:pPr>
              <w:pStyle w:val="Bodym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4507E93C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Õppekava avamine õpetamisõiguseta õppekavagrupis, sh </w:t>
            </w:r>
            <w:proofErr w:type="spellStart"/>
            <w:r w:rsidRPr="00F66987">
              <w:rPr>
                <w:rFonts w:asciiTheme="minorHAnsi" w:hAnsiTheme="minorHAnsi"/>
                <w:sz w:val="22"/>
                <w:szCs w:val="22"/>
              </w:rPr>
              <w:t>ühisõppekava</w:t>
            </w:r>
            <w:proofErr w:type="spellEnd"/>
            <w:r w:rsidRPr="00F66987">
              <w:rPr>
                <w:rFonts w:asciiTheme="minorHAnsi" w:hAnsiTheme="minorHAnsi"/>
                <w:sz w:val="22"/>
                <w:szCs w:val="22"/>
              </w:rPr>
              <w:t xml:space="preserve"> ja rahvusvaheline õppekava</w:t>
            </w:r>
          </w:p>
        </w:tc>
        <w:tc>
          <w:tcPr>
            <w:tcW w:w="1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5B8B87A6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 xml:space="preserve">1. oktoober </w:t>
            </w:r>
          </w:p>
        </w:tc>
        <w:tc>
          <w:tcPr>
            <w:tcW w:w="306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</w:tcPr>
          <w:p w14:paraId="12DFD7E1" w14:textId="77777777" w:rsidR="00EE480B" w:rsidRPr="00F66987" w:rsidRDefault="00EE480B" w:rsidP="00E1706D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/>
                <w:sz w:val="22"/>
                <w:szCs w:val="22"/>
              </w:rPr>
            </w:pPr>
            <w:r w:rsidRPr="00F66987">
              <w:rPr>
                <w:rFonts w:asciiTheme="minorHAnsi" w:hAnsiTheme="minorHAnsi"/>
                <w:sz w:val="22"/>
                <w:szCs w:val="22"/>
              </w:rPr>
              <w:t>9 kuud enne õppeaasta algust</w:t>
            </w:r>
            <w:r w:rsidRPr="00F66987" w:rsidDel="002C29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66987" w:rsidRPr="00F66987" w14:paraId="6E5ADF57" w14:textId="77777777" w:rsidTr="00D6696F">
        <w:tc>
          <w:tcPr>
            <w:tcW w:w="525" w:type="dxa"/>
            <w:tcBorders>
              <w:top w:val="single" w:sz="6" w:space="0" w:color="595959"/>
              <w:left w:val="single" w:sz="4" w:space="0" w:color="595959"/>
              <w:bottom w:val="single" w:sz="4" w:space="0" w:color="595959"/>
              <w:right w:val="single" w:sz="6" w:space="0" w:color="595959"/>
            </w:tcBorders>
          </w:tcPr>
          <w:p w14:paraId="5C711097" w14:textId="77777777" w:rsidR="00E867E3" w:rsidRPr="00F66987" w:rsidRDefault="00E867E3" w:rsidP="00E867E3">
            <w:pPr>
              <w:pStyle w:val="Bodym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6" w:space="0" w:color="595959"/>
              <w:left w:val="single" w:sz="6" w:space="0" w:color="595959"/>
              <w:bottom w:val="single" w:sz="4" w:space="0" w:color="595959"/>
              <w:right w:val="single" w:sz="6" w:space="0" w:color="595959"/>
            </w:tcBorders>
          </w:tcPr>
          <w:p w14:paraId="78965003" w14:textId="02706E18" w:rsidR="00E867E3" w:rsidRPr="00F66987" w:rsidRDefault="00E867E3" w:rsidP="00E867E3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987">
              <w:rPr>
                <w:rFonts w:asciiTheme="minorHAnsi" w:hAnsiTheme="minorHAnsi" w:cstheme="minorHAnsi"/>
                <w:sz w:val="22"/>
                <w:szCs w:val="22"/>
              </w:rPr>
              <w:t>Õppekava avamine õpetamisõigusega õppekavagrupis [jõustunud 20.02.2020]</w:t>
            </w:r>
          </w:p>
        </w:tc>
        <w:tc>
          <w:tcPr>
            <w:tcW w:w="1841" w:type="dxa"/>
            <w:tcBorders>
              <w:top w:val="single" w:sz="6" w:space="0" w:color="595959"/>
              <w:left w:val="single" w:sz="6" w:space="0" w:color="595959"/>
              <w:bottom w:val="single" w:sz="4" w:space="0" w:color="595959"/>
              <w:right w:val="single" w:sz="6" w:space="0" w:color="595959"/>
            </w:tcBorders>
          </w:tcPr>
          <w:p w14:paraId="39887728" w14:textId="5361846B" w:rsidR="00E867E3" w:rsidRPr="00F66987" w:rsidRDefault="00E867E3" w:rsidP="00E867E3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987">
              <w:rPr>
                <w:rFonts w:asciiTheme="minorHAnsi" w:hAnsiTheme="minorHAnsi" w:cstheme="minorHAnsi"/>
                <w:sz w:val="22"/>
                <w:szCs w:val="22"/>
              </w:rPr>
              <w:t>15. november</w:t>
            </w:r>
          </w:p>
        </w:tc>
        <w:tc>
          <w:tcPr>
            <w:tcW w:w="3061" w:type="dxa"/>
            <w:tcBorders>
              <w:top w:val="single" w:sz="6" w:space="0" w:color="595959"/>
              <w:left w:val="single" w:sz="6" w:space="0" w:color="595959"/>
              <w:bottom w:val="single" w:sz="4" w:space="0" w:color="595959"/>
              <w:right w:val="single" w:sz="4" w:space="0" w:color="595959"/>
            </w:tcBorders>
          </w:tcPr>
          <w:p w14:paraId="434FFAF2" w14:textId="2EDDE54F" w:rsidR="00E867E3" w:rsidRPr="00F66987" w:rsidRDefault="00E867E3" w:rsidP="00E867E3">
            <w:pPr>
              <w:pStyle w:val="Bodym"/>
              <w:numPr>
                <w:ilvl w:val="0"/>
                <w:numId w:val="0"/>
              </w:num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987">
              <w:rPr>
                <w:rFonts w:asciiTheme="minorHAnsi" w:hAnsiTheme="minorHAnsi" w:cstheme="minorHAnsi"/>
                <w:sz w:val="22"/>
                <w:szCs w:val="22"/>
              </w:rPr>
              <w:t>9 kuud enne õppeaasta algust</w:t>
            </w:r>
          </w:p>
        </w:tc>
      </w:tr>
    </w:tbl>
    <w:p w14:paraId="2F370D1C" w14:textId="77777777" w:rsidR="00EE480B" w:rsidRPr="00F66987" w:rsidRDefault="00EE480B" w:rsidP="00945594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muutmine</w:t>
      </w:r>
    </w:p>
    <w:p w14:paraId="6DFEB26D" w14:textId="77777777" w:rsidR="00E34DE6" w:rsidRPr="00F66987" w:rsidRDefault="00E34DE6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Kui õppekaval muutub õppekeel, õppe nominaalkestus, maht või muudetakse olulisel määral õppekava eesmärke ja õpiväljundeid, avatakse uus õppekava. </w:t>
      </w:r>
    </w:p>
    <w:p w14:paraId="5F0FF5D5" w14:textId="77777777" w:rsidR="00A56C93" w:rsidRPr="00F66987" w:rsidRDefault="00906967" w:rsidP="00E75CAD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Kehtivas õppekava versioonis </w:t>
      </w:r>
      <w:r w:rsidR="00F23498" w:rsidRPr="00F66987">
        <w:rPr>
          <w:rFonts w:asciiTheme="minorHAnsi" w:hAnsiTheme="minorHAnsi"/>
          <w:sz w:val="22"/>
          <w:szCs w:val="22"/>
        </w:rPr>
        <w:t xml:space="preserve">võib </w:t>
      </w:r>
      <w:r w:rsidRPr="00F66987">
        <w:rPr>
          <w:rFonts w:asciiTheme="minorHAnsi" w:hAnsiTheme="minorHAnsi"/>
          <w:sz w:val="22"/>
          <w:szCs w:val="22"/>
        </w:rPr>
        <w:t>asendada</w:t>
      </w:r>
      <w:r w:rsidR="00A56C93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>üksikuid õppeaineid</w:t>
      </w:r>
      <w:r w:rsidR="00A56C93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 xml:space="preserve">samas mahus, lisada valikaineid ja lõpetada valikainete õpetamine. Muude </w:t>
      </w:r>
      <w:r w:rsidR="00B44A7E" w:rsidRPr="00F66987">
        <w:rPr>
          <w:rFonts w:asciiTheme="minorHAnsi" w:hAnsiTheme="minorHAnsi"/>
          <w:sz w:val="22"/>
          <w:szCs w:val="22"/>
        </w:rPr>
        <w:t>muudatus</w:t>
      </w:r>
      <w:r w:rsidRPr="00F66987">
        <w:rPr>
          <w:rFonts w:asciiTheme="minorHAnsi" w:hAnsiTheme="minorHAnsi"/>
          <w:sz w:val="22"/>
          <w:szCs w:val="22"/>
        </w:rPr>
        <w:t xml:space="preserve">te korral </w:t>
      </w:r>
      <w:r w:rsidR="00EE480B" w:rsidRPr="00F66987">
        <w:rPr>
          <w:rFonts w:asciiTheme="minorHAnsi" w:hAnsiTheme="minorHAnsi"/>
          <w:sz w:val="22"/>
          <w:szCs w:val="22"/>
        </w:rPr>
        <w:t xml:space="preserve">tekib uus </w:t>
      </w:r>
      <w:r w:rsidR="00D0770F" w:rsidRPr="00F66987">
        <w:rPr>
          <w:rFonts w:asciiTheme="minorHAnsi" w:hAnsiTheme="minorHAnsi"/>
          <w:sz w:val="22"/>
          <w:szCs w:val="22"/>
        </w:rPr>
        <w:t xml:space="preserve">õppekava </w:t>
      </w:r>
      <w:r w:rsidR="00EE480B" w:rsidRPr="00F66987">
        <w:rPr>
          <w:rFonts w:asciiTheme="minorHAnsi" w:hAnsiTheme="minorHAnsi"/>
          <w:sz w:val="22"/>
          <w:szCs w:val="22"/>
        </w:rPr>
        <w:t>versioon</w:t>
      </w:r>
      <w:r w:rsidR="005C2166" w:rsidRPr="00F66987">
        <w:rPr>
          <w:rFonts w:asciiTheme="minorHAnsi" w:hAnsiTheme="minorHAnsi"/>
          <w:sz w:val="22"/>
          <w:szCs w:val="22"/>
        </w:rPr>
        <w:t xml:space="preserve">, mis hakkab kehtima järgmisest </w:t>
      </w:r>
      <w:r w:rsidR="00BB1FD4" w:rsidRPr="00F66987">
        <w:rPr>
          <w:rFonts w:asciiTheme="minorHAnsi" w:hAnsiTheme="minorHAnsi"/>
          <w:sz w:val="22"/>
          <w:szCs w:val="22"/>
        </w:rPr>
        <w:t xml:space="preserve">üliõpilaste </w:t>
      </w:r>
      <w:r w:rsidR="005C2166" w:rsidRPr="00F66987">
        <w:rPr>
          <w:rFonts w:asciiTheme="minorHAnsi" w:hAnsiTheme="minorHAnsi"/>
          <w:sz w:val="22"/>
          <w:szCs w:val="22"/>
        </w:rPr>
        <w:t>vastuvõtust.</w:t>
      </w:r>
      <w:r w:rsidR="00EE480B" w:rsidRPr="00F66987">
        <w:rPr>
          <w:rFonts w:asciiTheme="minorHAnsi" w:hAnsiTheme="minorHAnsi"/>
          <w:sz w:val="22"/>
          <w:szCs w:val="22"/>
        </w:rPr>
        <w:t xml:space="preserve"> </w:t>
      </w:r>
    </w:p>
    <w:p w14:paraId="0256DE80" w14:textId="77777777" w:rsidR="00865C02" w:rsidRPr="00F66987" w:rsidRDefault="00BB723E" w:rsidP="00865C02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Ülikooli senat </w:t>
      </w:r>
      <w:r w:rsidR="00865C02" w:rsidRPr="00F66987">
        <w:rPr>
          <w:rFonts w:asciiTheme="minorHAnsi" w:hAnsiTheme="minorHAnsi"/>
          <w:sz w:val="22"/>
          <w:szCs w:val="22"/>
        </w:rPr>
        <w:t xml:space="preserve">kinnitab õppekava </w:t>
      </w:r>
      <w:r w:rsidR="004B041A" w:rsidRPr="00F66987">
        <w:rPr>
          <w:rFonts w:asciiTheme="minorHAnsi" w:hAnsiTheme="minorHAnsi"/>
          <w:sz w:val="22"/>
          <w:szCs w:val="22"/>
        </w:rPr>
        <w:t xml:space="preserve">versiooni </w:t>
      </w:r>
      <w:r w:rsidR="00865C02" w:rsidRPr="00F66987">
        <w:rPr>
          <w:rFonts w:asciiTheme="minorHAnsi" w:hAnsiTheme="minorHAnsi"/>
          <w:sz w:val="22"/>
          <w:szCs w:val="22"/>
        </w:rPr>
        <w:t xml:space="preserve">muudatused järgmistel juhtudel: </w:t>
      </w:r>
      <w:r w:rsidRPr="00F66987">
        <w:rPr>
          <w:rFonts w:asciiTheme="minorHAnsi" w:hAnsiTheme="minorHAnsi"/>
          <w:sz w:val="22"/>
          <w:szCs w:val="22"/>
        </w:rPr>
        <w:t>[jõustunud 01.11.2019]</w:t>
      </w:r>
    </w:p>
    <w:p w14:paraId="59A27A1D" w14:textId="77777777" w:rsidR="00865C02" w:rsidRPr="00F66987" w:rsidRDefault="00865C02" w:rsidP="00865C0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pe</w:t>
      </w:r>
      <w:r w:rsidR="007B6F40" w:rsidRPr="00F66987">
        <w:rPr>
          <w:rFonts w:asciiTheme="minorHAnsi" w:hAnsiTheme="minorHAnsi"/>
          <w:sz w:val="22"/>
          <w:szCs w:val="22"/>
        </w:rPr>
        <w:t>aeriala lisamine või sulgemine;</w:t>
      </w:r>
    </w:p>
    <w:p w14:paraId="49338B6B" w14:textId="77777777" w:rsidR="00865C02" w:rsidRPr="00F66987" w:rsidRDefault="00865C02" w:rsidP="00865C0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nimetuse muutmine;</w:t>
      </w:r>
    </w:p>
    <w:p w14:paraId="59787364" w14:textId="77777777" w:rsidR="00865C02" w:rsidRPr="00F66987" w:rsidRDefault="00865C02" w:rsidP="00865C0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antava kraadi nimetuse muutmine;</w:t>
      </w:r>
    </w:p>
    <w:p w14:paraId="7CEFB644" w14:textId="77777777" w:rsidR="00865C02" w:rsidRPr="00F66987" w:rsidRDefault="00865C02" w:rsidP="00865C02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haldava struktuuriüksuse muutmine.</w:t>
      </w:r>
    </w:p>
    <w:p w14:paraId="133040F9" w14:textId="77777777" w:rsidR="00F767C4" w:rsidRPr="00F66987" w:rsidRDefault="00936D9A" w:rsidP="00AA7184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Käesoleva paragrahvi lõikes </w:t>
      </w:r>
      <w:r w:rsidR="00865C02" w:rsidRPr="00F66987">
        <w:rPr>
          <w:rFonts w:asciiTheme="minorHAnsi" w:hAnsiTheme="minorHAnsi"/>
          <w:sz w:val="22"/>
          <w:szCs w:val="22"/>
        </w:rPr>
        <w:t>3</w:t>
      </w:r>
      <w:r w:rsidRPr="00F66987">
        <w:rPr>
          <w:rFonts w:asciiTheme="minorHAnsi" w:hAnsiTheme="minorHAnsi"/>
          <w:sz w:val="22"/>
          <w:szCs w:val="22"/>
        </w:rPr>
        <w:t xml:space="preserve"> nimetamata </w:t>
      </w:r>
      <w:r w:rsidR="00822082" w:rsidRPr="00F66987">
        <w:rPr>
          <w:rFonts w:asciiTheme="minorHAnsi" w:hAnsiTheme="minorHAnsi"/>
          <w:sz w:val="22"/>
          <w:szCs w:val="22"/>
        </w:rPr>
        <w:t>muudatused</w:t>
      </w:r>
      <w:r w:rsidR="00BC701F" w:rsidRPr="00F66987">
        <w:rPr>
          <w:rFonts w:asciiTheme="minorHAnsi" w:hAnsiTheme="minorHAnsi"/>
          <w:sz w:val="22"/>
          <w:szCs w:val="22"/>
        </w:rPr>
        <w:t xml:space="preserve"> </w:t>
      </w:r>
      <w:r w:rsidR="00822082" w:rsidRPr="00F66987">
        <w:rPr>
          <w:rFonts w:asciiTheme="minorHAnsi" w:hAnsiTheme="minorHAnsi"/>
          <w:sz w:val="22"/>
          <w:szCs w:val="22"/>
        </w:rPr>
        <w:t xml:space="preserve">kinnitab </w:t>
      </w:r>
      <w:r w:rsidR="00AD143E" w:rsidRPr="00F66987">
        <w:rPr>
          <w:rFonts w:asciiTheme="minorHAnsi" w:hAnsiTheme="minorHAnsi"/>
          <w:sz w:val="22"/>
          <w:szCs w:val="22"/>
        </w:rPr>
        <w:t xml:space="preserve">programmijuhi ettepanekul </w:t>
      </w:r>
      <w:r w:rsidR="00822082" w:rsidRPr="00F66987">
        <w:rPr>
          <w:rFonts w:asciiTheme="minorHAnsi" w:hAnsiTheme="minorHAnsi"/>
          <w:sz w:val="22"/>
          <w:szCs w:val="22"/>
        </w:rPr>
        <w:t xml:space="preserve">teaduskonna </w:t>
      </w:r>
      <w:r w:rsidR="00BC701F" w:rsidRPr="00F66987">
        <w:rPr>
          <w:rFonts w:asciiTheme="minorHAnsi" w:hAnsiTheme="minorHAnsi"/>
          <w:sz w:val="22"/>
          <w:szCs w:val="22"/>
        </w:rPr>
        <w:t>nõukogu.</w:t>
      </w:r>
      <w:r w:rsidR="00AA7184" w:rsidRPr="00F66987">
        <w:rPr>
          <w:rFonts w:asciiTheme="minorHAnsi" w:hAnsiTheme="minorHAnsi"/>
          <w:sz w:val="22"/>
          <w:szCs w:val="22"/>
        </w:rPr>
        <w:t xml:space="preserve"> [jõustunud 21.03.2017]</w:t>
      </w:r>
    </w:p>
    <w:p w14:paraId="3D394415" w14:textId="77777777" w:rsidR="00D47951" w:rsidRPr="00F66987" w:rsidRDefault="00F767C4" w:rsidP="00F767C4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</w:t>
      </w:r>
      <w:r w:rsidR="00D47951" w:rsidRPr="00F66987">
        <w:rPr>
          <w:rFonts w:asciiTheme="minorHAnsi" w:hAnsiTheme="minorHAnsi"/>
          <w:sz w:val="22"/>
          <w:szCs w:val="22"/>
        </w:rPr>
        <w:t xml:space="preserve">ppekava uue versiooni loomiseks sisestatakse õppeinfosüsteemi </w:t>
      </w:r>
      <w:r w:rsidR="00936D9A" w:rsidRPr="00F66987">
        <w:rPr>
          <w:rFonts w:asciiTheme="minorHAnsi" w:hAnsiTheme="minorHAnsi"/>
          <w:sz w:val="22"/>
          <w:szCs w:val="22"/>
        </w:rPr>
        <w:t>uue versiooni kavand</w:t>
      </w:r>
      <w:r w:rsidR="00D47951" w:rsidRPr="00F66987">
        <w:rPr>
          <w:rFonts w:asciiTheme="minorHAnsi" w:hAnsiTheme="minorHAnsi"/>
          <w:sz w:val="22"/>
          <w:szCs w:val="22"/>
        </w:rPr>
        <w:t xml:space="preserve"> </w:t>
      </w:r>
    </w:p>
    <w:p w14:paraId="58F5B93C" w14:textId="0E54852E" w:rsidR="000212B6" w:rsidRPr="00F66987" w:rsidRDefault="00936D9A" w:rsidP="006D5F38">
      <w:pPr>
        <w:pStyle w:val="Bodym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ja</w:t>
      </w:r>
      <w:r w:rsidR="00F767C4" w:rsidRPr="00F66987">
        <w:rPr>
          <w:rFonts w:asciiTheme="minorHAnsi" w:hAnsiTheme="minorHAnsi"/>
          <w:sz w:val="22"/>
          <w:szCs w:val="22"/>
        </w:rPr>
        <w:t xml:space="preserve"> </w:t>
      </w:r>
      <w:r w:rsidRPr="00F66987">
        <w:rPr>
          <w:rFonts w:asciiTheme="minorHAnsi" w:hAnsiTheme="minorHAnsi"/>
          <w:sz w:val="22"/>
          <w:szCs w:val="22"/>
        </w:rPr>
        <w:t xml:space="preserve">õppekava muudatused koos põhjendusega </w:t>
      </w:r>
      <w:r w:rsidR="00ED35C8" w:rsidRPr="00F66987">
        <w:rPr>
          <w:rFonts w:asciiTheme="minorHAnsi" w:hAnsiTheme="minorHAnsi"/>
          <w:sz w:val="22"/>
          <w:szCs w:val="22"/>
        </w:rPr>
        <w:t xml:space="preserve">esitatakse </w:t>
      </w:r>
      <w:r w:rsidR="005A0B3D" w:rsidRPr="00F66987">
        <w:rPr>
          <w:rFonts w:asciiTheme="minorHAnsi" w:hAnsiTheme="minorHAnsi"/>
          <w:sz w:val="22"/>
          <w:szCs w:val="22"/>
        </w:rPr>
        <w:t>õppeosakonnale</w:t>
      </w:r>
      <w:r w:rsidR="00AD143E" w:rsidRPr="00F66987">
        <w:rPr>
          <w:rFonts w:asciiTheme="minorHAnsi" w:hAnsiTheme="minorHAnsi"/>
          <w:sz w:val="22"/>
          <w:szCs w:val="22"/>
        </w:rPr>
        <w:t xml:space="preserve"> kooskõlastamiseks</w:t>
      </w:r>
      <w:r w:rsidR="00255165" w:rsidRPr="00F66987">
        <w:rPr>
          <w:rFonts w:asciiTheme="minorHAnsi" w:hAnsiTheme="minorHAnsi"/>
          <w:sz w:val="22"/>
          <w:szCs w:val="22"/>
        </w:rPr>
        <w:t>,</w:t>
      </w:r>
      <w:r w:rsidR="00E34DE6" w:rsidRPr="00F66987">
        <w:rPr>
          <w:rFonts w:asciiTheme="minorHAnsi" w:hAnsiTheme="minorHAnsi"/>
          <w:sz w:val="22"/>
          <w:szCs w:val="22"/>
        </w:rPr>
        <w:t xml:space="preserve"> </w:t>
      </w:r>
      <w:r w:rsidR="005C2166" w:rsidRPr="00F66987">
        <w:rPr>
          <w:rFonts w:asciiTheme="minorHAnsi" w:hAnsiTheme="minorHAnsi"/>
          <w:sz w:val="22"/>
          <w:szCs w:val="22"/>
        </w:rPr>
        <w:t>käesoleva paragrahvi lõikes</w:t>
      </w:r>
      <w:r w:rsidR="00464B22" w:rsidRPr="00F66987">
        <w:rPr>
          <w:rFonts w:asciiTheme="minorHAnsi" w:hAnsiTheme="minorHAnsi"/>
          <w:sz w:val="22"/>
          <w:szCs w:val="22"/>
        </w:rPr>
        <w:t xml:space="preserve"> </w:t>
      </w:r>
      <w:r w:rsidR="00864794" w:rsidRPr="00F66987">
        <w:rPr>
          <w:rFonts w:asciiTheme="minorHAnsi" w:hAnsiTheme="minorHAnsi"/>
          <w:sz w:val="22"/>
          <w:szCs w:val="22"/>
        </w:rPr>
        <w:t>3</w:t>
      </w:r>
      <w:r w:rsidR="00464B22" w:rsidRPr="00F66987">
        <w:rPr>
          <w:rFonts w:asciiTheme="minorHAnsi" w:hAnsiTheme="minorHAnsi"/>
          <w:sz w:val="22"/>
          <w:szCs w:val="22"/>
        </w:rPr>
        <w:t xml:space="preserve"> nimetatud juh</w:t>
      </w:r>
      <w:r w:rsidR="00B44A7E" w:rsidRPr="00F66987">
        <w:rPr>
          <w:rFonts w:asciiTheme="minorHAnsi" w:hAnsiTheme="minorHAnsi"/>
          <w:sz w:val="22"/>
          <w:szCs w:val="22"/>
        </w:rPr>
        <w:t>tude</w:t>
      </w:r>
      <w:r w:rsidR="00464B22" w:rsidRPr="00F66987">
        <w:rPr>
          <w:rFonts w:asciiTheme="minorHAnsi" w:hAnsiTheme="minorHAnsi"/>
          <w:sz w:val="22"/>
          <w:szCs w:val="22"/>
        </w:rPr>
        <w:t>l hiljemalt 1. detsembriks ja muudel juhtudel hiljemalt 15. jaanuariks</w:t>
      </w:r>
      <w:r w:rsidR="00F767C4" w:rsidRPr="00F66987">
        <w:rPr>
          <w:rFonts w:asciiTheme="minorHAnsi" w:hAnsiTheme="minorHAnsi"/>
          <w:sz w:val="22"/>
          <w:szCs w:val="22"/>
        </w:rPr>
        <w:t>.</w:t>
      </w:r>
      <w:r w:rsidR="00464B22" w:rsidRPr="00F66987">
        <w:rPr>
          <w:rFonts w:asciiTheme="minorHAnsi" w:hAnsiTheme="minorHAnsi"/>
          <w:sz w:val="22"/>
          <w:szCs w:val="22"/>
        </w:rPr>
        <w:t xml:space="preserve"> </w:t>
      </w:r>
      <w:r w:rsidR="00ED35C8" w:rsidRPr="00F66987">
        <w:rPr>
          <w:rFonts w:asciiTheme="minorHAnsi" w:hAnsiTheme="minorHAnsi"/>
          <w:sz w:val="22"/>
          <w:szCs w:val="22"/>
        </w:rPr>
        <w:t>Peaeriala lisamisel põhjendatakse peaeriala avamise vajadust, lisatakse andmed ressursside ja kavandatava üliõpilaste vastuvõtuarvu kohta</w:t>
      </w:r>
      <w:r w:rsidR="00A56C93" w:rsidRPr="00F66987">
        <w:rPr>
          <w:rFonts w:asciiTheme="minorHAnsi" w:hAnsiTheme="minorHAnsi"/>
          <w:sz w:val="22"/>
          <w:szCs w:val="22"/>
        </w:rPr>
        <w:t>.</w:t>
      </w:r>
      <w:r w:rsidRPr="00F66987">
        <w:rPr>
          <w:rFonts w:asciiTheme="minorHAnsi" w:hAnsiTheme="minorHAnsi"/>
          <w:sz w:val="22"/>
          <w:szCs w:val="22"/>
        </w:rPr>
        <w:t xml:space="preserve"> </w:t>
      </w:r>
      <w:r w:rsidR="00CA66B5" w:rsidRPr="00F66987">
        <w:rPr>
          <w:rFonts w:asciiTheme="minorHAnsi" w:hAnsiTheme="minorHAnsi"/>
          <w:sz w:val="22"/>
          <w:szCs w:val="22"/>
        </w:rPr>
        <w:t xml:space="preserve">Peaeriala lisamise otsustab ülikooli senat õppeprorektori (doktoriõppe puhul teadusprorektori) ettepanekul, kuulates ära teaduskonna nõukogu seisukoha. Teaduskonna nõukogu otsus esitatakse õppeosakonnale hiljemalt 1. märtsiks, lõikes 3 nimetatud juhtudel hiljemalt 20. detsembriks </w:t>
      </w:r>
      <w:r w:rsidR="00AA7184" w:rsidRPr="00F66987">
        <w:rPr>
          <w:rFonts w:asciiTheme="minorHAnsi" w:hAnsiTheme="minorHAnsi"/>
          <w:sz w:val="22"/>
          <w:szCs w:val="22"/>
        </w:rPr>
        <w:t xml:space="preserve">[jõustunud </w:t>
      </w:r>
      <w:r w:rsidR="00CA66B5" w:rsidRPr="00F66987">
        <w:rPr>
          <w:rFonts w:asciiTheme="minorHAnsi" w:hAnsiTheme="minorHAnsi"/>
          <w:sz w:val="22"/>
          <w:szCs w:val="22"/>
        </w:rPr>
        <w:t>20.02.2020</w:t>
      </w:r>
      <w:r w:rsidR="00AA7184" w:rsidRPr="00F66987">
        <w:rPr>
          <w:rFonts w:asciiTheme="minorHAnsi" w:hAnsiTheme="minorHAnsi"/>
          <w:sz w:val="22"/>
          <w:szCs w:val="22"/>
        </w:rPr>
        <w:t>]</w:t>
      </w:r>
    </w:p>
    <w:p w14:paraId="65D02A4E" w14:textId="77777777" w:rsidR="000212B6" w:rsidRPr="00F66987" w:rsidRDefault="00F767C4" w:rsidP="00AA7184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kehtiva versiooni muutmiseks </w:t>
      </w:r>
      <w:r w:rsidR="00F17C7A" w:rsidRPr="00F66987">
        <w:rPr>
          <w:rFonts w:asciiTheme="minorHAnsi" w:hAnsiTheme="minorHAnsi"/>
          <w:sz w:val="22"/>
          <w:szCs w:val="22"/>
        </w:rPr>
        <w:t>esitatakse õppekava muudatused koos põhjendusega õppeosakonnale</w:t>
      </w:r>
      <w:r w:rsidR="00AD143E" w:rsidRPr="00F66987">
        <w:rPr>
          <w:rFonts w:asciiTheme="minorHAnsi" w:hAnsiTheme="minorHAnsi"/>
          <w:sz w:val="22"/>
          <w:szCs w:val="22"/>
        </w:rPr>
        <w:t xml:space="preserve"> kooskõlastamiseks</w:t>
      </w:r>
      <w:r w:rsidR="00F17C7A" w:rsidRPr="00F66987">
        <w:rPr>
          <w:rFonts w:asciiTheme="minorHAnsi" w:hAnsiTheme="minorHAnsi"/>
          <w:sz w:val="22"/>
          <w:szCs w:val="22"/>
        </w:rPr>
        <w:t xml:space="preserve"> hiljemalt 15. jaanuariks või 5. septembriks</w:t>
      </w:r>
      <w:r w:rsidR="00822082" w:rsidRPr="00F66987">
        <w:rPr>
          <w:rFonts w:asciiTheme="minorHAnsi" w:hAnsiTheme="minorHAnsi"/>
          <w:sz w:val="22"/>
          <w:szCs w:val="22"/>
        </w:rPr>
        <w:t>. Teaduskonna nõukogu o</w:t>
      </w:r>
      <w:r w:rsidR="00F17C7A" w:rsidRPr="00F66987">
        <w:rPr>
          <w:rFonts w:asciiTheme="minorHAnsi" w:hAnsiTheme="minorHAnsi"/>
          <w:sz w:val="22"/>
          <w:szCs w:val="22"/>
        </w:rPr>
        <w:t>tsus edastatakse õppeosakonnale hiljemalt 1. märtsiks või 1. oktoobriks.</w:t>
      </w:r>
      <w:r w:rsidR="00AA7184" w:rsidRPr="00F66987">
        <w:rPr>
          <w:rFonts w:asciiTheme="minorHAnsi" w:hAnsiTheme="minorHAnsi"/>
          <w:sz w:val="22"/>
          <w:szCs w:val="22"/>
        </w:rPr>
        <w:t xml:space="preserve"> [jõustunud 21.03.2017]</w:t>
      </w:r>
    </w:p>
    <w:p w14:paraId="7DF3E7AC" w14:textId="77777777" w:rsidR="00865C02" w:rsidRPr="00F66987" w:rsidRDefault="00A16CE2" w:rsidP="00D71718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muudatused tuleb kooskõlastada õppetööd läbi viivate struktuuriüksuste juhtidega.</w:t>
      </w:r>
      <w:r w:rsidR="00865C02" w:rsidRPr="00F66987">
        <w:rPr>
          <w:rFonts w:asciiTheme="minorHAnsi" w:hAnsiTheme="minorHAnsi"/>
          <w:sz w:val="22"/>
          <w:szCs w:val="22"/>
        </w:rPr>
        <w:t xml:space="preserve"> </w:t>
      </w:r>
    </w:p>
    <w:p w14:paraId="110B9C8F" w14:textId="77777777" w:rsidR="00E42BAE" w:rsidRPr="00F66987" w:rsidRDefault="00E42BAE" w:rsidP="00D71718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lastRenderedPageBreak/>
        <w:t>Põhjendatud juhtude</w:t>
      </w:r>
      <w:r w:rsidR="00025771" w:rsidRPr="00F66987">
        <w:rPr>
          <w:rFonts w:asciiTheme="minorHAnsi" w:hAnsiTheme="minorHAnsi"/>
          <w:sz w:val="22"/>
          <w:szCs w:val="22"/>
        </w:rPr>
        <w:t xml:space="preserve">l võib ülikooli </w:t>
      </w:r>
      <w:r w:rsidR="00816BB6" w:rsidRPr="00F66987">
        <w:rPr>
          <w:rFonts w:asciiTheme="minorHAnsi" w:hAnsiTheme="minorHAnsi"/>
          <w:sz w:val="22"/>
          <w:szCs w:val="22"/>
        </w:rPr>
        <w:t>senat</w:t>
      </w:r>
      <w:r w:rsidR="00BB723E" w:rsidRPr="00F66987">
        <w:rPr>
          <w:rFonts w:asciiTheme="minorHAnsi" w:hAnsiTheme="minorHAnsi"/>
          <w:sz w:val="22"/>
          <w:szCs w:val="22"/>
        </w:rPr>
        <w:t xml:space="preserve"> </w:t>
      </w:r>
      <w:r w:rsidR="00025771" w:rsidRPr="00F66987">
        <w:rPr>
          <w:rFonts w:asciiTheme="minorHAnsi" w:hAnsiTheme="minorHAnsi"/>
          <w:sz w:val="22"/>
          <w:szCs w:val="22"/>
        </w:rPr>
        <w:t>õppekavade muutmisel lubada erisusi statuudis nimetatud nõuetest.</w:t>
      </w:r>
      <w:r w:rsidR="00BB723E" w:rsidRPr="00F66987">
        <w:rPr>
          <w:rFonts w:asciiTheme="minorHAnsi" w:hAnsiTheme="minorHAnsi"/>
          <w:sz w:val="22"/>
          <w:szCs w:val="22"/>
        </w:rPr>
        <w:t xml:space="preserve"> [jõustunud 01.11.2019]</w:t>
      </w:r>
    </w:p>
    <w:p w14:paraId="0581E328" w14:textId="77777777" w:rsidR="00EE480B" w:rsidRPr="00F66987" w:rsidRDefault="00EE480B" w:rsidP="00945594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sulgemine</w:t>
      </w:r>
    </w:p>
    <w:p w14:paraId="62F43AC3" w14:textId="77777777" w:rsidR="00EE480B" w:rsidRPr="00F66987" w:rsidRDefault="00EE480B" w:rsidP="00EE480B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sulgemine tähendab õppetöö lõpetamist konkreetse õppekava alusel. Suletud õppekava alusel ei saa ülikool väljastada lõpudokumente.</w:t>
      </w:r>
    </w:p>
    <w:p w14:paraId="4E7F44BF" w14:textId="77777777" w:rsidR="00D24BE2" w:rsidRPr="00F66987" w:rsidRDefault="00A16CE2" w:rsidP="00AA7184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Õppekava sulgemise otsustab ülikooli </w:t>
      </w:r>
      <w:r w:rsidR="00BB723E" w:rsidRPr="00F66987">
        <w:rPr>
          <w:rFonts w:asciiTheme="minorHAnsi" w:hAnsiTheme="minorHAnsi"/>
          <w:sz w:val="22"/>
          <w:szCs w:val="22"/>
        </w:rPr>
        <w:t xml:space="preserve">senati </w:t>
      </w:r>
      <w:r w:rsidRPr="00F66987">
        <w:rPr>
          <w:rFonts w:asciiTheme="minorHAnsi" w:hAnsiTheme="minorHAnsi"/>
          <w:sz w:val="22"/>
          <w:szCs w:val="22"/>
        </w:rPr>
        <w:t xml:space="preserve">õppeprorektori ettepanekul kuulates ära teaduskonna </w:t>
      </w:r>
      <w:r w:rsidR="00AA7184" w:rsidRPr="00F66987">
        <w:rPr>
          <w:rFonts w:asciiTheme="minorHAnsi" w:hAnsiTheme="minorHAnsi"/>
          <w:sz w:val="22"/>
          <w:szCs w:val="22"/>
        </w:rPr>
        <w:t>nõukogu seisukoha.</w:t>
      </w:r>
      <w:r w:rsidR="00BB723E" w:rsidRPr="00F66987">
        <w:rPr>
          <w:rFonts w:asciiTheme="minorHAnsi" w:hAnsiTheme="minorHAnsi"/>
          <w:sz w:val="22"/>
          <w:szCs w:val="22"/>
        </w:rPr>
        <w:t xml:space="preserve"> [jõustunud 01.11.2019]</w:t>
      </w:r>
    </w:p>
    <w:p w14:paraId="037D4189" w14:textId="77777777" w:rsidR="00EE480B" w:rsidRPr="00F66987" w:rsidRDefault="00EE480B" w:rsidP="00AA7184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sulgemisele eelneb vastuvõtu lõpetamine. Õppeprorektor</w:t>
      </w:r>
      <w:r w:rsidR="003944FB" w:rsidRPr="00F66987">
        <w:rPr>
          <w:rFonts w:asciiTheme="minorHAnsi" w:hAnsiTheme="minorHAnsi"/>
          <w:sz w:val="22"/>
          <w:szCs w:val="22"/>
        </w:rPr>
        <w:t xml:space="preserve"> teeb teaduskonnale </w:t>
      </w:r>
      <w:r w:rsidRPr="00F66987">
        <w:rPr>
          <w:rFonts w:asciiTheme="minorHAnsi" w:hAnsiTheme="minorHAnsi"/>
          <w:sz w:val="22"/>
          <w:szCs w:val="22"/>
        </w:rPr>
        <w:t>ettepaneku lõpetada vastuvõtt</w:t>
      </w:r>
      <w:r w:rsidR="00DB35B9" w:rsidRPr="00F66987">
        <w:rPr>
          <w:rFonts w:asciiTheme="minorHAnsi" w:hAnsiTheme="minorHAnsi"/>
          <w:sz w:val="22"/>
          <w:szCs w:val="22"/>
        </w:rPr>
        <w:t>,</w:t>
      </w:r>
      <w:r w:rsidRPr="00F66987">
        <w:rPr>
          <w:rFonts w:asciiTheme="minorHAnsi" w:hAnsiTheme="minorHAnsi"/>
          <w:sz w:val="22"/>
          <w:szCs w:val="22"/>
        </w:rPr>
        <w:t xml:space="preserve"> kui viimasel kolmel aastal on:</w:t>
      </w:r>
      <w:r w:rsidR="00AA7184" w:rsidRPr="00F66987">
        <w:rPr>
          <w:rFonts w:asciiTheme="minorHAnsi" w:hAnsiTheme="minorHAnsi"/>
          <w:sz w:val="22"/>
          <w:szCs w:val="22"/>
        </w:rPr>
        <w:t xml:space="preserve"> [jõustunud 21.03.2017]</w:t>
      </w:r>
    </w:p>
    <w:p w14:paraId="48C14E07" w14:textId="1802E058" w:rsidR="00CA66B5" w:rsidRPr="00F66987" w:rsidRDefault="00CA66B5" w:rsidP="00EE480B">
      <w:pPr>
        <w:pStyle w:val="Bodym1"/>
        <w:rPr>
          <w:rFonts w:asciiTheme="minorHAnsi" w:hAnsiTheme="minorHAnsi" w:cstheme="minorHAnsi"/>
          <w:sz w:val="22"/>
          <w:szCs w:val="22"/>
        </w:rPr>
      </w:pPr>
      <w:r w:rsidRPr="00F66987">
        <w:rPr>
          <w:rFonts w:asciiTheme="minorHAnsi" w:hAnsiTheme="minorHAnsi" w:cstheme="minorHAnsi"/>
          <w:sz w:val="22"/>
          <w:szCs w:val="22"/>
        </w:rPr>
        <w:t>üliõpilaste vastuvõtt olnud esimese astme õppekavade puhul vähem kui 15 üliõpilast peaeriala kohta ja teise astme õppekavade puhul vähem kui 10 üliõpilast peaeriala kohta;</w:t>
      </w:r>
      <w:r w:rsidRPr="00F66987">
        <w:rPr>
          <w:rFonts w:asciiTheme="minorHAnsi" w:hAnsiTheme="minorHAnsi"/>
          <w:sz w:val="22"/>
          <w:szCs w:val="22"/>
        </w:rPr>
        <w:t xml:space="preserve"> [jõustunud 20.02.2020]</w:t>
      </w:r>
    </w:p>
    <w:p w14:paraId="1A50F9C9" w14:textId="41ED5421" w:rsidR="00EE480B" w:rsidRPr="00F66987" w:rsidRDefault="00EE480B" w:rsidP="00EE480B">
      <w:pPr>
        <w:pStyle w:val="Bodym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lõpetajate osakaal on võrreld</w:t>
      </w:r>
      <w:r w:rsidR="00064C6C" w:rsidRPr="00F66987">
        <w:rPr>
          <w:rFonts w:asciiTheme="minorHAnsi" w:hAnsiTheme="minorHAnsi"/>
          <w:sz w:val="22"/>
          <w:szCs w:val="22"/>
        </w:rPr>
        <w:t>es</w:t>
      </w:r>
      <w:r w:rsidRPr="00F66987">
        <w:rPr>
          <w:rFonts w:asciiTheme="minorHAnsi" w:hAnsiTheme="minorHAnsi"/>
          <w:sz w:val="22"/>
          <w:szCs w:val="22"/>
        </w:rPr>
        <w:t xml:space="preserve"> nominaalaeg tagasi vastuvõetud üliõpilaste koguarvu</w:t>
      </w:r>
      <w:r w:rsidR="00064C6C" w:rsidRPr="00F66987">
        <w:rPr>
          <w:rFonts w:asciiTheme="minorHAnsi" w:hAnsiTheme="minorHAnsi"/>
          <w:sz w:val="22"/>
          <w:szCs w:val="22"/>
        </w:rPr>
        <w:t>ga</w:t>
      </w:r>
      <w:r w:rsidRPr="00F66987">
        <w:rPr>
          <w:rFonts w:asciiTheme="minorHAnsi" w:hAnsiTheme="minorHAnsi"/>
          <w:sz w:val="22"/>
          <w:szCs w:val="22"/>
        </w:rPr>
        <w:t xml:space="preserve"> alla 25% (v.a doktoriõppe</w:t>
      </w:r>
      <w:r w:rsidR="004355EE" w:rsidRPr="00F66987">
        <w:rPr>
          <w:rFonts w:asciiTheme="minorHAnsi" w:hAnsiTheme="minorHAnsi"/>
          <w:sz w:val="22"/>
          <w:szCs w:val="22"/>
        </w:rPr>
        <w:t xml:space="preserve"> õp</w:t>
      </w:r>
      <w:r w:rsidR="001B0148" w:rsidRPr="00F66987">
        <w:rPr>
          <w:rFonts w:asciiTheme="minorHAnsi" w:hAnsiTheme="minorHAnsi"/>
          <w:sz w:val="22"/>
          <w:szCs w:val="22"/>
        </w:rPr>
        <w:t>pe</w:t>
      </w:r>
      <w:r w:rsidRPr="00F66987">
        <w:rPr>
          <w:rFonts w:asciiTheme="minorHAnsi" w:hAnsiTheme="minorHAnsi"/>
          <w:sz w:val="22"/>
          <w:szCs w:val="22"/>
        </w:rPr>
        <w:t>kavad).</w:t>
      </w:r>
    </w:p>
    <w:p w14:paraId="2F8B54AF" w14:textId="77777777" w:rsidR="00EE480B" w:rsidRPr="00F66987" w:rsidRDefault="00EE480B" w:rsidP="00EE480B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Õppekava tüüpõpingukava järgne õpetamine lõpetatakse pärast nominaalaja möödumist viimasest vastuvõtust. Üliõpilastele pakutakse võimalust jätkata õpinguid lähedase õppesuuna õppekaval.</w:t>
      </w:r>
    </w:p>
    <w:p w14:paraId="0F3C8E0D" w14:textId="77777777" w:rsidR="00EE480B" w:rsidRPr="00F66987" w:rsidRDefault="00EF0766" w:rsidP="00EF0766">
      <w:pPr>
        <w:pStyle w:val="Heading1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br/>
        <w:t>RAKENDUSSÄTTED</w:t>
      </w:r>
    </w:p>
    <w:p w14:paraId="21223F59" w14:textId="77777777" w:rsidR="00EF0766" w:rsidRPr="00F66987" w:rsidRDefault="00EF0766" w:rsidP="00945594">
      <w:pPr>
        <w:pStyle w:val="Loetelum"/>
        <w:ind w:left="0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Rakendussätted</w:t>
      </w:r>
    </w:p>
    <w:p w14:paraId="39E4FCC5" w14:textId="77777777" w:rsidR="00EF0766" w:rsidRPr="00F66987" w:rsidRDefault="00EF0766" w:rsidP="00EF0766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Määrus jõustub 2016/2017. õppeaastast.</w:t>
      </w:r>
    </w:p>
    <w:p w14:paraId="20C1D754" w14:textId="566E7EC9" w:rsidR="00EF0766" w:rsidRPr="00F66987" w:rsidRDefault="00855BA9" w:rsidP="00EF0766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 xml:space="preserve">[kehtetu – jõustunud </w:t>
      </w:r>
      <w:r w:rsidR="009E78D3" w:rsidRPr="00F66987">
        <w:rPr>
          <w:rFonts w:asciiTheme="minorHAnsi" w:hAnsiTheme="minorHAnsi"/>
          <w:sz w:val="22"/>
          <w:szCs w:val="22"/>
        </w:rPr>
        <w:t>23</w:t>
      </w:r>
      <w:r w:rsidRPr="00F66987">
        <w:rPr>
          <w:rFonts w:asciiTheme="minorHAnsi" w:hAnsiTheme="minorHAnsi"/>
          <w:sz w:val="22"/>
          <w:szCs w:val="22"/>
        </w:rPr>
        <w:t>.05.2021]</w:t>
      </w:r>
    </w:p>
    <w:p w14:paraId="476E691D" w14:textId="09AB2563" w:rsidR="006026A4" w:rsidRPr="00F66987" w:rsidRDefault="00855BA9" w:rsidP="00855BA9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Kolmanda kõrgharidusastme õppekavad viiakse määrusega kooskõlla hiljemalt 2022/2023. õppeaasta alguseks</w:t>
      </w:r>
      <w:r w:rsidR="006026A4" w:rsidRPr="00F66987">
        <w:rPr>
          <w:rFonts w:asciiTheme="minorHAnsi" w:hAnsiTheme="minorHAnsi"/>
          <w:sz w:val="22"/>
          <w:szCs w:val="22"/>
        </w:rPr>
        <w:t>.</w:t>
      </w:r>
      <w:r w:rsidRPr="00F66987">
        <w:rPr>
          <w:rFonts w:asciiTheme="minorHAnsi" w:hAnsiTheme="minorHAnsi"/>
          <w:sz w:val="22"/>
          <w:szCs w:val="22"/>
        </w:rPr>
        <w:t xml:space="preserve"> [jõustunud </w:t>
      </w:r>
      <w:r w:rsidR="009E78D3" w:rsidRPr="00F66987">
        <w:rPr>
          <w:rFonts w:asciiTheme="minorHAnsi" w:hAnsiTheme="minorHAnsi"/>
          <w:sz w:val="22"/>
          <w:szCs w:val="22"/>
        </w:rPr>
        <w:t>23</w:t>
      </w:r>
      <w:r w:rsidRPr="00F66987">
        <w:rPr>
          <w:rFonts w:asciiTheme="minorHAnsi" w:hAnsiTheme="minorHAnsi"/>
          <w:sz w:val="22"/>
          <w:szCs w:val="22"/>
        </w:rPr>
        <w:t>.05.2021]</w:t>
      </w:r>
    </w:p>
    <w:p w14:paraId="71C34ED4" w14:textId="77777777" w:rsidR="00493AC3" w:rsidRPr="00F66987" w:rsidRDefault="00493AC3" w:rsidP="00493AC3">
      <w:pPr>
        <w:pStyle w:val="Bodym"/>
        <w:rPr>
          <w:rFonts w:asciiTheme="minorHAnsi" w:hAnsiTheme="minorHAnsi"/>
          <w:sz w:val="22"/>
          <w:szCs w:val="22"/>
        </w:rPr>
      </w:pPr>
      <w:r w:rsidRPr="00F66987">
        <w:rPr>
          <w:rFonts w:asciiTheme="minorHAnsi" w:hAnsiTheme="minorHAnsi"/>
          <w:sz w:val="22"/>
          <w:szCs w:val="22"/>
        </w:rPr>
        <w:t>Tunnistatakse kehtetuks T</w:t>
      </w:r>
      <w:r w:rsidR="00CA7656" w:rsidRPr="00F66987">
        <w:rPr>
          <w:rFonts w:asciiTheme="minorHAnsi" w:hAnsiTheme="minorHAnsi"/>
          <w:sz w:val="22"/>
          <w:szCs w:val="22"/>
        </w:rPr>
        <w:t>allinna Tehnikaülikooli</w:t>
      </w:r>
      <w:r w:rsidRPr="00F66987">
        <w:rPr>
          <w:rFonts w:asciiTheme="minorHAnsi" w:hAnsiTheme="minorHAnsi"/>
          <w:sz w:val="22"/>
          <w:szCs w:val="22"/>
        </w:rPr>
        <w:t xml:space="preserve"> nõukogu 18.06.2013 määrus nr 5 „Õppekava statuut</w:t>
      </w:r>
      <w:r w:rsidR="00D778CF" w:rsidRPr="00F66987">
        <w:rPr>
          <w:rFonts w:asciiTheme="minorHAnsi" w:hAnsiTheme="minorHAnsi"/>
          <w:sz w:val="22"/>
          <w:szCs w:val="22"/>
        </w:rPr>
        <w:t>”</w:t>
      </w:r>
      <w:r w:rsidRPr="00F66987">
        <w:rPr>
          <w:rFonts w:asciiTheme="minorHAnsi" w:hAnsiTheme="minorHAnsi"/>
          <w:sz w:val="22"/>
          <w:szCs w:val="22"/>
        </w:rPr>
        <w:t>.</w:t>
      </w:r>
    </w:p>
    <w:bookmarkEnd w:id="0"/>
    <w:p w14:paraId="6CB41E4A" w14:textId="77777777" w:rsidR="00D778CF" w:rsidRPr="00F66987" w:rsidRDefault="00D778CF" w:rsidP="00D778CF">
      <w:pPr>
        <w:rPr>
          <w:rFonts w:asciiTheme="minorHAnsi" w:hAnsiTheme="minorHAnsi"/>
          <w:sz w:val="22"/>
          <w:szCs w:val="22"/>
        </w:rPr>
      </w:pPr>
    </w:p>
    <w:sectPr w:rsidR="00D778CF" w:rsidRPr="00F66987" w:rsidSect="00353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1E3F" w14:textId="77777777" w:rsidR="0086738A" w:rsidRDefault="0086738A">
      <w:r>
        <w:separator/>
      </w:r>
    </w:p>
  </w:endnote>
  <w:endnote w:type="continuationSeparator" w:id="0">
    <w:p w14:paraId="0C33EE91" w14:textId="77777777" w:rsidR="0086738A" w:rsidRDefault="0086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3F70" w14:textId="77777777" w:rsidR="00D47951" w:rsidRDefault="00D4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77EA2" w14:textId="77777777" w:rsidR="00D47951" w:rsidRDefault="00D47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00ED" w14:textId="77777777" w:rsidR="00CC4D1D" w:rsidRDefault="00CC4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9418" w14:textId="77777777" w:rsidR="00CC4D1D" w:rsidRDefault="00CC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0008" w14:textId="77777777" w:rsidR="0086738A" w:rsidRDefault="0086738A">
      <w:r>
        <w:separator/>
      </w:r>
    </w:p>
  </w:footnote>
  <w:footnote w:type="continuationSeparator" w:id="0">
    <w:p w14:paraId="22A3DA83" w14:textId="77777777" w:rsidR="0086738A" w:rsidRDefault="0086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031A" w14:textId="77777777" w:rsidR="00D47951" w:rsidRDefault="00D479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FB3F8" w14:textId="77777777" w:rsidR="00D47951" w:rsidRDefault="00D47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3F44" w14:textId="20A7CD19" w:rsidR="00D47951" w:rsidRPr="00CC4D1D" w:rsidRDefault="00D47951" w:rsidP="00E1706D">
    <w:pPr>
      <w:pStyle w:val="Header"/>
      <w:framePr w:wrap="notBeside" w:vAnchor="text" w:hAnchor="margin" w:xAlign="center" w:y="1"/>
      <w:rPr>
        <w:rStyle w:val="PageNumber"/>
        <w:rFonts w:asciiTheme="minorHAnsi" w:hAnsiTheme="minorHAnsi" w:cstheme="minorHAnsi"/>
        <w:sz w:val="22"/>
        <w:szCs w:val="22"/>
      </w:rPr>
    </w:pPr>
    <w:r w:rsidRPr="00CC4D1D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CC4D1D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CC4D1D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F66987">
      <w:rPr>
        <w:rStyle w:val="PageNumber"/>
        <w:rFonts w:asciiTheme="minorHAnsi" w:hAnsiTheme="minorHAnsi" w:cstheme="minorHAnsi"/>
        <w:noProof/>
        <w:sz w:val="22"/>
        <w:szCs w:val="22"/>
      </w:rPr>
      <w:t>4</w:t>
    </w:r>
    <w:r w:rsidRPr="00CC4D1D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5778F628" w14:textId="77777777" w:rsidR="00D47951" w:rsidRDefault="00D479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3CF8" w14:textId="77777777" w:rsidR="00CC4D1D" w:rsidRDefault="00CC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66F"/>
    <w:multiLevelType w:val="hybridMultilevel"/>
    <w:tmpl w:val="37C87178"/>
    <w:lvl w:ilvl="0" w:tplc="596CDB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D5893"/>
    <w:multiLevelType w:val="hybridMultilevel"/>
    <w:tmpl w:val="4EF8FECE"/>
    <w:lvl w:ilvl="0" w:tplc="38660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B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E89"/>
    <w:multiLevelType w:val="hybridMultilevel"/>
    <w:tmpl w:val="6456A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3D37"/>
    <w:multiLevelType w:val="hybridMultilevel"/>
    <w:tmpl w:val="4B042C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14D"/>
    <w:multiLevelType w:val="hybridMultilevel"/>
    <w:tmpl w:val="777ADFB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0783"/>
    <w:multiLevelType w:val="hybridMultilevel"/>
    <w:tmpl w:val="272AF8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DA791C"/>
    <w:multiLevelType w:val="hybridMultilevel"/>
    <w:tmpl w:val="F01607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D31"/>
    <w:multiLevelType w:val="multilevel"/>
    <w:tmpl w:val="353EDCFC"/>
    <w:lvl w:ilvl="0">
      <w:start w:val="1"/>
      <w:numFmt w:val="decimal"/>
      <w:pStyle w:val="Loetelum"/>
      <w:suff w:val="space"/>
      <w:lvlText w:val="§ %1. "/>
      <w:lvlJc w:val="left"/>
      <w:pPr>
        <w:ind w:left="142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CF5D8A"/>
    <w:multiLevelType w:val="hybridMultilevel"/>
    <w:tmpl w:val="A86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970"/>
    <w:multiLevelType w:val="hybridMultilevel"/>
    <w:tmpl w:val="06A2E9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55778"/>
    <w:multiLevelType w:val="hybridMultilevel"/>
    <w:tmpl w:val="2BD6200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3A43F8B"/>
    <w:multiLevelType w:val="hybridMultilevel"/>
    <w:tmpl w:val="ABB6D944"/>
    <w:lvl w:ilvl="0" w:tplc="DDC8C61C">
      <w:start w:val="1"/>
      <w:numFmt w:val="lowerLetter"/>
      <w:lvlText w:val="%1."/>
      <w:lvlJc w:val="left"/>
      <w:pPr>
        <w:ind w:left="831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7E30D5"/>
    <w:multiLevelType w:val="hybridMultilevel"/>
    <w:tmpl w:val="6406D4D0"/>
    <w:lvl w:ilvl="0" w:tplc="38660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B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2729"/>
    <w:multiLevelType w:val="hybridMultilevel"/>
    <w:tmpl w:val="68DACE34"/>
    <w:lvl w:ilvl="0" w:tplc="38660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BA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4455"/>
    <w:multiLevelType w:val="hybridMultilevel"/>
    <w:tmpl w:val="493CE5F8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32E0D77"/>
    <w:multiLevelType w:val="hybridMultilevel"/>
    <w:tmpl w:val="85BE52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F42E0"/>
    <w:multiLevelType w:val="hybridMultilevel"/>
    <w:tmpl w:val="0F26679C"/>
    <w:lvl w:ilvl="0" w:tplc="596CDB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A7C5C"/>
    <w:multiLevelType w:val="multilevel"/>
    <w:tmpl w:val="53EE256C"/>
    <w:lvl w:ilvl="0">
      <w:start w:val="1"/>
      <w:numFmt w:val="decimal"/>
      <w:pStyle w:val="Heading1"/>
      <w:suff w:val="nothing"/>
      <w:lvlText w:val="%1. peatükk"/>
      <w:lvlJc w:val="left"/>
      <w:pPr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2"/>
  </w:num>
  <w:num w:numId="9">
    <w:abstractNumId w:val="8"/>
  </w:num>
  <w:num w:numId="10">
    <w:abstractNumId w:val="8"/>
  </w:num>
  <w:num w:numId="11">
    <w:abstractNumId w:val="8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0"/>
  </w:num>
  <w:num w:numId="17">
    <w:abstractNumId w:val="19"/>
  </w:num>
  <w:num w:numId="18">
    <w:abstractNumId w:val="10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9"/>
  </w:num>
  <w:num w:numId="24">
    <w:abstractNumId w:val="8"/>
  </w:num>
  <w:num w:numId="25">
    <w:abstractNumId w:val="13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7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D"/>
    <w:rsid w:val="00002BE9"/>
    <w:rsid w:val="00003F69"/>
    <w:rsid w:val="0000755F"/>
    <w:rsid w:val="00010BBE"/>
    <w:rsid w:val="000212B6"/>
    <w:rsid w:val="00022956"/>
    <w:rsid w:val="00025771"/>
    <w:rsid w:val="00025C38"/>
    <w:rsid w:val="00030AE1"/>
    <w:rsid w:val="0003267A"/>
    <w:rsid w:val="00034DD8"/>
    <w:rsid w:val="00045E22"/>
    <w:rsid w:val="0004751D"/>
    <w:rsid w:val="00055BA5"/>
    <w:rsid w:val="000566B5"/>
    <w:rsid w:val="00056A9C"/>
    <w:rsid w:val="000579F0"/>
    <w:rsid w:val="00062F86"/>
    <w:rsid w:val="00064C6C"/>
    <w:rsid w:val="00066EE8"/>
    <w:rsid w:val="00075E94"/>
    <w:rsid w:val="00077345"/>
    <w:rsid w:val="0008551E"/>
    <w:rsid w:val="0009353D"/>
    <w:rsid w:val="000A03C9"/>
    <w:rsid w:val="000A2969"/>
    <w:rsid w:val="000A7883"/>
    <w:rsid w:val="000B273B"/>
    <w:rsid w:val="000B30AC"/>
    <w:rsid w:val="000B40CE"/>
    <w:rsid w:val="000B58B9"/>
    <w:rsid w:val="000B78D7"/>
    <w:rsid w:val="000C0CD0"/>
    <w:rsid w:val="000C4733"/>
    <w:rsid w:val="000C4DED"/>
    <w:rsid w:val="000D0A1F"/>
    <w:rsid w:val="000D3EA5"/>
    <w:rsid w:val="000D7B48"/>
    <w:rsid w:val="000E0598"/>
    <w:rsid w:val="000E138A"/>
    <w:rsid w:val="000E3B89"/>
    <w:rsid w:val="000E44AA"/>
    <w:rsid w:val="000F0F3E"/>
    <w:rsid w:val="000F2A6B"/>
    <w:rsid w:val="000F51DB"/>
    <w:rsid w:val="0010727B"/>
    <w:rsid w:val="001301F8"/>
    <w:rsid w:val="00135B4A"/>
    <w:rsid w:val="00136C3A"/>
    <w:rsid w:val="00143562"/>
    <w:rsid w:val="00143F09"/>
    <w:rsid w:val="00155A0F"/>
    <w:rsid w:val="00155C50"/>
    <w:rsid w:val="0016111E"/>
    <w:rsid w:val="00163354"/>
    <w:rsid w:val="00164BFF"/>
    <w:rsid w:val="00174FD1"/>
    <w:rsid w:val="00180808"/>
    <w:rsid w:val="001873E4"/>
    <w:rsid w:val="00187FA8"/>
    <w:rsid w:val="00191BEF"/>
    <w:rsid w:val="00192E3E"/>
    <w:rsid w:val="00193E50"/>
    <w:rsid w:val="00194089"/>
    <w:rsid w:val="001A0105"/>
    <w:rsid w:val="001A08EC"/>
    <w:rsid w:val="001A5D36"/>
    <w:rsid w:val="001A7BCB"/>
    <w:rsid w:val="001B0050"/>
    <w:rsid w:val="001B0148"/>
    <w:rsid w:val="001B1095"/>
    <w:rsid w:val="001B29C9"/>
    <w:rsid w:val="001C0C3B"/>
    <w:rsid w:val="001C7707"/>
    <w:rsid w:val="001D192C"/>
    <w:rsid w:val="001D4B0B"/>
    <w:rsid w:val="001D4B4D"/>
    <w:rsid w:val="001E1120"/>
    <w:rsid w:val="001E30C3"/>
    <w:rsid w:val="001E3ACE"/>
    <w:rsid w:val="001E4CCA"/>
    <w:rsid w:val="001E67A0"/>
    <w:rsid w:val="001F2694"/>
    <w:rsid w:val="001F3B7D"/>
    <w:rsid w:val="001F7C87"/>
    <w:rsid w:val="00200D5C"/>
    <w:rsid w:val="00210B21"/>
    <w:rsid w:val="00210F74"/>
    <w:rsid w:val="00211CD0"/>
    <w:rsid w:val="00211D94"/>
    <w:rsid w:val="002123EB"/>
    <w:rsid w:val="00213F30"/>
    <w:rsid w:val="00214CEC"/>
    <w:rsid w:val="002172E2"/>
    <w:rsid w:val="00220F74"/>
    <w:rsid w:val="0024276D"/>
    <w:rsid w:val="00244EAD"/>
    <w:rsid w:val="00245F41"/>
    <w:rsid w:val="00247C65"/>
    <w:rsid w:val="00253967"/>
    <w:rsid w:val="00255165"/>
    <w:rsid w:val="00261F85"/>
    <w:rsid w:val="00263BC1"/>
    <w:rsid w:val="00265AE7"/>
    <w:rsid w:val="002709A2"/>
    <w:rsid w:val="0028419D"/>
    <w:rsid w:val="00292E24"/>
    <w:rsid w:val="00293A67"/>
    <w:rsid w:val="00294675"/>
    <w:rsid w:val="00295212"/>
    <w:rsid w:val="00296722"/>
    <w:rsid w:val="002A181D"/>
    <w:rsid w:val="002A65AE"/>
    <w:rsid w:val="002C60A6"/>
    <w:rsid w:val="002D0B12"/>
    <w:rsid w:val="002D1EF3"/>
    <w:rsid w:val="002D3825"/>
    <w:rsid w:val="002E4947"/>
    <w:rsid w:val="002E5D76"/>
    <w:rsid w:val="002F37B7"/>
    <w:rsid w:val="003003D0"/>
    <w:rsid w:val="00305E29"/>
    <w:rsid w:val="003065CE"/>
    <w:rsid w:val="0031245F"/>
    <w:rsid w:val="00314DD1"/>
    <w:rsid w:val="003159EB"/>
    <w:rsid w:val="0031786F"/>
    <w:rsid w:val="00322F00"/>
    <w:rsid w:val="003426D3"/>
    <w:rsid w:val="00343D66"/>
    <w:rsid w:val="003535EB"/>
    <w:rsid w:val="00353CA2"/>
    <w:rsid w:val="00356127"/>
    <w:rsid w:val="003626E8"/>
    <w:rsid w:val="0036373E"/>
    <w:rsid w:val="00363E44"/>
    <w:rsid w:val="00365DBD"/>
    <w:rsid w:val="0036720E"/>
    <w:rsid w:val="003709A0"/>
    <w:rsid w:val="00370D9C"/>
    <w:rsid w:val="0037162D"/>
    <w:rsid w:val="00373A4C"/>
    <w:rsid w:val="003765BB"/>
    <w:rsid w:val="00380A00"/>
    <w:rsid w:val="00383330"/>
    <w:rsid w:val="003944FB"/>
    <w:rsid w:val="003A2D58"/>
    <w:rsid w:val="003B2048"/>
    <w:rsid w:val="003B7B47"/>
    <w:rsid w:val="003C0B64"/>
    <w:rsid w:val="003C618B"/>
    <w:rsid w:val="003D5085"/>
    <w:rsid w:val="003D6F77"/>
    <w:rsid w:val="003E0055"/>
    <w:rsid w:val="003E61C1"/>
    <w:rsid w:val="003F1B95"/>
    <w:rsid w:val="003F3977"/>
    <w:rsid w:val="004012EB"/>
    <w:rsid w:val="0040333E"/>
    <w:rsid w:val="004040C6"/>
    <w:rsid w:val="00404998"/>
    <w:rsid w:val="0040530C"/>
    <w:rsid w:val="0040547F"/>
    <w:rsid w:val="004107CA"/>
    <w:rsid w:val="004139D6"/>
    <w:rsid w:val="00413F74"/>
    <w:rsid w:val="00420A71"/>
    <w:rsid w:val="004355EE"/>
    <w:rsid w:val="00440318"/>
    <w:rsid w:val="00440CBA"/>
    <w:rsid w:val="004531A3"/>
    <w:rsid w:val="00453AB9"/>
    <w:rsid w:val="00453FC0"/>
    <w:rsid w:val="004555CC"/>
    <w:rsid w:val="00463864"/>
    <w:rsid w:val="00464B22"/>
    <w:rsid w:val="00466707"/>
    <w:rsid w:val="00475AE7"/>
    <w:rsid w:val="0048032A"/>
    <w:rsid w:val="004825C8"/>
    <w:rsid w:val="00482703"/>
    <w:rsid w:val="00483766"/>
    <w:rsid w:val="00485C13"/>
    <w:rsid w:val="00486ACC"/>
    <w:rsid w:val="00490F45"/>
    <w:rsid w:val="004939F0"/>
    <w:rsid w:val="00493AC3"/>
    <w:rsid w:val="004A59D0"/>
    <w:rsid w:val="004B041A"/>
    <w:rsid w:val="004B0CEB"/>
    <w:rsid w:val="004B0E0D"/>
    <w:rsid w:val="004B1CD8"/>
    <w:rsid w:val="004B4537"/>
    <w:rsid w:val="004B6534"/>
    <w:rsid w:val="004B7B1B"/>
    <w:rsid w:val="004C125C"/>
    <w:rsid w:val="004E660B"/>
    <w:rsid w:val="004E7ABE"/>
    <w:rsid w:val="004F25D3"/>
    <w:rsid w:val="00500AC4"/>
    <w:rsid w:val="00500B47"/>
    <w:rsid w:val="0050282D"/>
    <w:rsid w:val="00503DFD"/>
    <w:rsid w:val="0050730E"/>
    <w:rsid w:val="00507DF5"/>
    <w:rsid w:val="00510F63"/>
    <w:rsid w:val="00516D73"/>
    <w:rsid w:val="005170B1"/>
    <w:rsid w:val="0052342E"/>
    <w:rsid w:val="00525341"/>
    <w:rsid w:val="005268BE"/>
    <w:rsid w:val="0053454E"/>
    <w:rsid w:val="00542976"/>
    <w:rsid w:val="00542B15"/>
    <w:rsid w:val="005437C0"/>
    <w:rsid w:val="00544338"/>
    <w:rsid w:val="005457CB"/>
    <w:rsid w:val="00555F69"/>
    <w:rsid w:val="00556D1F"/>
    <w:rsid w:val="00570DBC"/>
    <w:rsid w:val="00574384"/>
    <w:rsid w:val="0057573C"/>
    <w:rsid w:val="00580BF4"/>
    <w:rsid w:val="00585E32"/>
    <w:rsid w:val="0059443D"/>
    <w:rsid w:val="005A0B3D"/>
    <w:rsid w:val="005A2BB4"/>
    <w:rsid w:val="005A63B2"/>
    <w:rsid w:val="005B32C8"/>
    <w:rsid w:val="005B4044"/>
    <w:rsid w:val="005B4124"/>
    <w:rsid w:val="005B50CA"/>
    <w:rsid w:val="005B72EB"/>
    <w:rsid w:val="005C2166"/>
    <w:rsid w:val="005C4AE0"/>
    <w:rsid w:val="005D02C1"/>
    <w:rsid w:val="005D05FC"/>
    <w:rsid w:val="005D0F19"/>
    <w:rsid w:val="005D3F35"/>
    <w:rsid w:val="005D4C8B"/>
    <w:rsid w:val="005D6D0F"/>
    <w:rsid w:val="005E2613"/>
    <w:rsid w:val="005E516C"/>
    <w:rsid w:val="005F063A"/>
    <w:rsid w:val="005F2332"/>
    <w:rsid w:val="005F2D7C"/>
    <w:rsid w:val="005F3534"/>
    <w:rsid w:val="006026A4"/>
    <w:rsid w:val="006047B9"/>
    <w:rsid w:val="0060555E"/>
    <w:rsid w:val="00612532"/>
    <w:rsid w:val="00613CB1"/>
    <w:rsid w:val="00630948"/>
    <w:rsid w:val="006513DB"/>
    <w:rsid w:val="0065195A"/>
    <w:rsid w:val="006520A0"/>
    <w:rsid w:val="006528D2"/>
    <w:rsid w:val="00655B65"/>
    <w:rsid w:val="00660E9C"/>
    <w:rsid w:val="00663402"/>
    <w:rsid w:val="0066472D"/>
    <w:rsid w:val="00682BF5"/>
    <w:rsid w:val="00683E1C"/>
    <w:rsid w:val="006855A6"/>
    <w:rsid w:val="00685B50"/>
    <w:rsid w:val="00685D9B"/>
    <w:rsid w:val="006944E3"/>
    <w:rsid w:val="006A0145"/>
    <w:rsid w:val="006A1F14"/>
    <w:rsid w:val="006A4E85"/>
    <w:rsid w:val="006A6272"/>
    <w:rsid w:val="006A6C34"/>
    <w:rsid w:val="006C0005"/>
    <w:rsid w:val="006C060D"/>
    <w:rsid w:val="006C1CFA"/>
    <w:rsid w:val="006C380F"/>
    <w:rsid w:val="006C43E9"/>
    <w:rsid w:val="006C452A"/>
    <w:rsid w:val="006C4749"/>
    <w:rsid w:val="006C748B"/>
    <w:rsid w:val="006C779D"/>
    <w:rsid w:val="006D1589"/>
    <w:rsid w:val="006D1BDF"/>
    <w:rsid w:val="006D3940"/>
    <w:rsid w:val="006D5F38"/>
    <w:rsid w:val="006E1CF0"/>
    <w:rsid w:val="006E3F85"/>
    <w:rsid w:val="006E5300"/>
    <w:rsid w:val="006E63F7"/>
    <w:rsid w:val="006F4067"/>
    <w:rsid w:val="006F41FA"/>
    <w:rsid w:val="00704DAA"/>
    <w:rsid w:val="00706AD3"/>
    <w:rsid w:val="0071062D"/>
    <w:rsid w:val="00711159"/>
    <w:rsid w:val="00716BC9"/>
    <w:rsid w:val="00716ED6"/>
    <w:rsid w:val="007174FE"/>
    <w:rsid w:val="00717B19"/>
    <w:rsid w:val="00725419"/>
    <w:rsid w:val="00730FF7"/>
    <w:rsid w:val="00732955"/>
    <w:rsid w:val="007346D2"/>
    <w:rsid w:val="007349E9"/>
    <w:rsid w:val="00737070"/>
    <w:rsid w:val="0074010F"/>
    <w:rsid w:val="0074053D"/>
    <w:rsid w:val="007420D1"/>
    <w:rsid w:val="00746BCE"/>
    <w:rsid w:val="00746ED2"/>
    <w:rsid w:val="00747674"/>
    <w:rsid w:val="00750073"/>
    <w:rsid w:val="00755B39"/>
    <w:rsid w:val="00772557"/>
    <w:rsid w:val="007741D1"/>
    <w:rsid w:val="007760E7"/>
    <w:rsid w:val="007946B2"/>
    <w:rsid w:val="00796BD0"/>
    <w:rsid w:val="007A1DAA"/>
    <w:rsid w:val="007B387B"/>
    <w:rsid w:val="007B6F40"/>
    <w:rsid w:val="007C1EEE"/>
    <w:rsid w:val="007C2ACE"/>
    <w:rsid w:val="007D1C7D"/>
    <w:rsid w:val="007D5398"/>
    <w:rsid w:val="007D78D4"/>
    <w:rsid w:val="007F0F67"/>
    <w:rsid w:val="007F62E4"/>
    <w:rsid w:val="00803ACD"/>
    <w:rsid w:val="008049B4"/>
    <w:rsid w:val="008051CC"/>
    <w:rsid w:val="008117CB"/>
    <w:rsid w:val="008136D7"/>
    <w:rsid w:val="00815F02"/>
    <w:rsid w:val="00816BB6"/>
    <w:rsid w:val="00820BF4"/>
    <w:rsid w:val="00821992"/>
    <w:rsid w:val="00822082"/>
    <w:rsid w:val="00822C25"/>
    <w:rsid w:val="00831710"/>
    <w:rsid w:val="00833F64"/>
    <w:rsid w:val="008359A4"/>
    <w:rsid w:val="00836514"/>
    <w:rsid w:val="008368A7"/>
    <w:rsid w:val="0083751E"/>
    <w:rsid w:val="0084100C"/>
    <w:rsid w:val="00841B34"/>
    <w:rsid w:val="008455E9"/>
    <w:rsid w:val="0085553F"/>
    <w:rsid w:val="00855BA9"/>
    <w:rsid w:val="00857919"/>
    <w:rsid w:val="00860941"/>
    <w:rsid w:val="00861E9C"/>
    <w:rsid w:val="008634E1"/>
    <w:rsid w:val="00864794"/>
    <w:rsid w:val="00865AD8"/>
    <w:rsid w:val="00865C02"/>
    <w:rsid w:val="0086738A"/>
    <w:rsid w:val="00870885"/>
    <w:rsid w:val="00870F2D"/>
    <w:rsid w:val="00873C77"/>
    <w:rsid w:val="00880CBC"/>
    <w:rsid w:val="00892D10"/>
    <w:rsid w:val="008946DB"/>
    <w:rsid w:val="00895484"/>
    <w:rsid w:val="00895F64"/>
    <w:rsid w:val="00897912"/>
    <w:rsid w:val="008A05AB"/>
    <w:rsid w:val="008A18E2"/>
    <w:rsid w:val="008A1E82"/>
    <w:rsid w:val="008A6B7D"/>
    <w:rsid w:val="008B0216"/>
    <w:rsid w:val="008B1C2B"/>
    <w:rsid w:val="008B37A4"/>
    <w:rsid w:val="008C368E"/>
    <w:rsid w:val="008C3966"/>
    <w:rsid w:val="008C7DBA"/>
    <w:rsid w:val="008D092A"/>
    <w:rsid w:val="008D0CCE"/>
    <w:rsid w:val="008D2013"/>
    <w:rsid w:val="008D21E0"/>
    <w:rsid w:val="008D5FBD"/>
    <w:rsid w:val="008E5F39"/>
    <w:rsid w:val="008E6CFA"/>
    <w:rsid w:val="008F49F6"/>
    <w:rsid w:val="008F4EDB"/>
    <w:rsid w:val="008F5F35"/>
    <w:rsid w:val="008F72A4"/>
    <w:rsid w:val="008F7EFF"/>
    <w:rsid w:val="00900FF2"/>
    <w:rsid w:val="00906967"/>
    <w:rsid w:val="00907579"/>
    <w:rsid w:val="00910B9E"/>
    <w:rsid w:val="00911C0F"/>
    <w:rsid w:val="0091686A"/>
    <w:rsid w:val="00916CEC"/>
    <w:rsid w:val="009233F4"/>
    <w:rsid w:val="00924286"/>
    <w:rsid w:val="00934EB3"/>
    <w:rsid w:val="00936D9A"/>
    <w:rsid w:val="00941493"/>
    <w:rsid w:val="00945594"/>
    <w:rsid w:val="00955FAE"/>
    <w:rsid w:val="00957A74"/>
    <w:rsid w:val="00960AD6"/>
    <w:rsid w:val="009610A3"/>
    <w:rsid w:val="00961469"/>
    <w:rsid w:val="0096531D"/>
    <w:rsid w:val="0096658C"/>
    <w:rsid w:val="00972802"/>
    <w:rsid w:val="00974066"/>
    <w:rsid w:val="009745AE"/>
    <w:rsid w:val="0097594A"/>
    <w:rsid w:val="0097648B"/>
    <w:rsid w:val="009770C7"/>
    <w:rsid w:val="00983592"/>
    <w:rsid w:val="00985091"/>
    <w:rsid w:val="009965D5"/>
    <w:rsid w:val="009A7DA9"/>
    <w:rsid w:val="009B7F38"/>
    <w:rsid w:val="009C29A4"/>
    <w:rsid w:val="009C585E"/>
    <w:rsid w:val="009D0A6A"/>
    <w:rsid w:val="009D101A"/>
    <w:rsid w:val="009D28FB"/>
    <w:rsid w:val="009D2CE7"/>
    <w:rsid w:val="009D2E58"/>
    <w:rsid w:val="009D7065"/>
    <w:rsid w:val="009D78E5"/>
    <w:rsid w:val="009E1CC3"/>
    <w:rsid w:val="009E31DD"/>
    <w:rsid w:val="009E78D3"/>
    <w:rsid w:val="009F69BF"/>
    <w:rsid w:val="00A0177F"/>
    <w:rsid w:val="00A042D1"/>
    <w:rsid w:val="00A0597D"/>
    <w:rsid w:val="00A05D50"/>
    <w:rsid w:val="00A079C7"/>
    <w:rsid w:val="00A10B26"/>
    <w:rsid w:val="00A10FD5"/>
    <w:rsid w:val="00A16CE2"/>
    <w:rsid w:val="00A204FA"/>
    <w:rsid w:val="00A21113"/>
    <w:rsid w:val="00A35E94"/>
    <w:rsid w:val="00A43C15"/>
    <w:rsid w:val="00A47199"/>
    <w:rsid w:val="00A5269F"/>
    <w:rsid w:val="00A52CE2"/>
    <w:rsid w:val="00A56C93"/>
    <w:rsid w:val="00A5717D"/>
    <w:rsid w:val="00A704E5"/>
    <w:rsid w:val="00A738A2"/>
    <w:rsid w:val="00A764B6"/>
    <w:rsid w:val="00A77B99"/>
    <w:rsid w:val="00A77BDA"/>
    <w:rsid w:val="00A83879"/>
    <w:rsid w:val="00A83E6F"/>
    <w:rsid w:val="00AA00A4"/>
    <w:rsid w:val="00AA13D1"/>
    <w:rsid w:val="00AA159E"/>
    <w:rsid w:val="00AA5757"/>
    <w:rsid w:val="00AA7184"/>
    <w:rsid w:val="00AB0BF6"/>
    <w:rsid w:val="00AB0C4B"/>
    <w:rsid w:val="00AB31F7"/>
    <w:rsid w:val="00AB434C"/>
    <w:rsid w:val="00AB4F8A"/>
    <w:rsid w:val="00AB5492"/>
    <w:rsid w:val="00AB5BAB"/>
    <w:rsid w:val="00AC2FC5"/>
    <w:rsid w:val="00AD0580"/>
    <w:rsid w:val="00AD077E"/>
    <w:rsid w:val="00AD143E"/>
    <w:rsid w:val="00AD4F2A"/>
    <w:rsid w:val="00AD5505"/>
    <w:rsid w:val="00AE0FCA"/>
    <w:rsid w:val="00AE7A1B"/>
    <w:rsid w:val="00AE7FB3"/>
    <w:rsid w:val="00AF33CD"/>
    <w:rsid w:val="00AF4011"/>
    <w:rsid w:val="00B034C6"/>
    <w:rsid w:val="00B04E97"/>
    <w:rsid w:val="00B15F2A"/>
    <w:rsid w:val="00B2373E"/>
    <w:rsid w:val="00B23D2E"/>
    <w:rsid w:val="00B26283"/>
    <w:rsid w:val="00B32702"/>
    <w:rsid w:val="00B33082"/>
    <w:rsid w:val="00B37FB2"/>
    <w:rsid w:val="00B44A7E"/>
    <w:rsid w:val="00B45501"/>
    <w:rsid w:val="00B507FA"/>
    <w:rsid w:val="00B519BE"/>
    <w:rsid w:val="00B51BC4"/>
    <w:rsid w:val="00B52B39"/>
    <w:rsid w:val="00B604D0"/>
    <w:rsid w:val="00B61008"/>
    <w:rsid w:val="00B62D3E"/>
    <w:rsid w:val="00B666E3"/>
    <w:rsid w:val="00B67AAA"/>
    <w:rsid w:val="00B71469"/>
    <w:rsid w:val="00B73470"/>
    <w:rsid w:val="00B75BD2"/>
    <w:rsid w:val="00B75EA4"/>
    <w:rsid w:val="00B81D99"/>
    <w:rsid w:val="00B83FA2"/>
    <w:rsid w:val="00B913B2"/>
    <w:rsid w:val="00B91C09"/>
    <w:rsid w:val="00B92018"/>
    <w:rsid w:val="00B937B6"/>
    <w:rsid w:val="00B94E1D"/>
    <w:rsid w:val="00B96868"/>
    <w:rsid w:val="00B97E12"/>
    <w:rsid w:val="00BB1FD4"/>
    <w:rsid w:val="00BB4A7F"/>
    <w:rsid w:val="00BB65B0"/>
    <w:rsid w:val="00BB723E"/>
    <w:rsid w:val="00BB72DA"/>
    <w:rsid w:val="00BC06BE"/>
    <w:rsid w:val="00BC0D31"/>
    <w:rsid w:val="00BC701F"/>
    <w:rsid w:val="00BC75A6"/>
    <w:rsid w:val="00BD3059"/>
    <w:rsid w:val="00BD6F10"/>
    <w:rsid w:val="00BE0D39"/>
    <w:rsid w:val="00BE1F75"/>
    <w:rsid w:val="00BF2521"/>
    <w:rsid w:val="00BF53A0"/>
    <w:rsid w:val="00BF6574"/>
    <w:rsid w:val="00C10583"/>
    <w:rsid w:val="00C11D43"/>
    <w:rsid w:val="00C121A8"/>
    <w:rsid w:val="00C204D4"/>
    <w:rsid w:val="00C20B0D"/>
    <w:rsid w:val="00C216CF"/>
    <w:rsid w:val="00C310DD"/>
    <w:rsid w:val="00C42933"/>
    <w:rsid w:val="00C43732"/>
    <w:rsid w:val="00C44314"/>
    <w:rsid w:val="00C51C87"/>
    <w:rsid w:val="00C52AF0"/>
    <w:rsid w:val="00C569F0"/>
    <w:rsid w:val="00C570F2"/>
    <w:rsid w:val="00C717C4"/>
    <w:rsid w:val="00C73D31"/>
    <w:rsid w:val="00C74E7C"/>
    <w:rsid w:val="00C77722"/>
    <w:rsid w:val="00C803E1"/>
    <w:rsid w:val="00C8421A"/>
    <w:rsid w:val="00C84314"/>
    <w:rsid w:val="00C932A7"/>
    <w:rsid w:val="00C96770"/>
    <w:rsid w:val="00CA4317"/>
    <w:rsid w:val="00CA66B5"/>
    <w:rsid w:val="00CA7656"/>
    <w:rsid w:val="00CB4A98"/>
    <w:rsid w:val="00CB5817"/>
    <w:rsid w:val="00CB64D1"/>
    <w:rsid w:val="00CC0123"/>
    <w:rsid w:val="00CC262D"/>
    <w:rsid w:val="00CC3091"/>
    <w:rsid w:val="00CC4D1D"/>
    <w:rsid w:val="00CC5091"/>
    <w:rsid w:val="00CD1326"/>
    <w:rsid w:val="00CE5D1C"/>
    <w:rsid w:val="00CF07E0"/>
    <w:rsid w:val="00CF40EA"/>
    <w:rsid w:val="00CF45D3"/>
    <w:rsid w:val="00CF5A23"/>
    <w:rsid w:val="00CF5CEC"/>
    <w:rsid w:val="00CF6EFF"/>
    <w:rsid w:val="00D01572"/>
    <w:rsid w:val="00D044E5"/>
    <w:rsid w:val="00D05AF1"/>
    <w:rsid w:val="00D0770F"/>
    <w:rsid w:val="00D10066"/>
    <w:rsid w:val="00D122F8"/>
    <w:rsid w:val="00D12AB7"/>
    <w:rsid w:val="00D13EE0"/>
    <w:rsid w:val="00D148B7"/>
    <w:rsid w:val="00D22D87"/>
    <w:rsid w:val="00D24BE2"/>
    <w:rsid w:val="00D27CA5"/>
    <w:rsid w:val="00D3365B"/>
    <w:rsid w:val="00D34A84"/>
    <w:rsid w:val="00D356CE"/>
    <w:rsid w:val="00D369BA"/>
    <w:rsid w:val="00D42D5E"/>
    <w:rsid w:val="00D45E6A"/>
    <w:rsid w:val="00D472CD"/>
    <w:rsid w:val="00D47951"/>
    <w:rsid w:val="00D51361"/>
    <w:rsid w:val="00D516EF"/>
    <w:rsid w:val="00D53279"/>
    <w:rsid w:val="00D55EDA"/>
    <w:rsid w:val="00D6696F"/>
    <w:rsid w:val="00D71718"/>
    <w:rsid w:val="00D72599"/>
    <w:rsid w:val="00D72E7A"/>
    <w:rsid w:val="00D73B85"/>
    <w:rsid w:val="00D778CF"/>
    <w:rsid w:val="00D803FE"/>
    <w:rsid w:val="00D81B87"/>
    <w:rsid w:val="00D85AD9"/>
    <w:rsid w:val="00D86176"/>
    <w:rsid w:val="00D93B74"/>
    <w:rsid w:val="00D95748"/>
    <w:rsid w:val="00D95D3F"/>
    <w:rsid w:val="00D966E8"/>
    <w:rsid w:val="00D97F55"/>
    <w:rsid w:val="00DA1319"/>
    <w:rsid w:val="00DA41AF"/>
    <w:rsid w:val="00DA42A3"/>
    <w:rsid w:val="00DA4B36"/>
    <w:rsid w:val="00DA65DA"/>
    <w:rsid w:val="00DA7836"/>
    <w:rsid w:val="00DA7DEB"/>
    <w:rsid w:val="00DB35B9"/>
    <w:rsid w:val="00DB3A66"/>
    <w:rsid w:val="00DB3A80"/>
    <w:rsid w:val="00DB3CB7"/>
    <w:rsid w:val="00DB56CC"/>
    <w:rsid w:val="00DB65A5"/>
    <w:rsid w:val="00DC2A38"/>
    <w:rsid w:val="00DC635A"/>
    <w:rsid w:val="00DC6B15"/>
    <w:rsid w:val="00DD16B7"/>
    <w:rsid w:val="00DD366B"/>
    <w:rsid w:val="00DD4192"/>
    <w:rsid w:val="00DD421B"/>
    <w:rsid w:val="00DD4967"/>
    <w:rsid w:val="00DE047F"/>
    <w:rsid w:val="00DE6FA5"/>
    <w:rsid w:val="00DF3EEA"/>
    <w:rsid w:val="00DF450C"/>
    <w:rsid w:val="00DF474E"/>
    <w:rsid w:val="00DF747C"/>
    <w:rsid w:val="00E0050F"/>
    <w:rsid w:val="00E00560"/>
    <w:rsid w:val="00E023BD"/>
    <w:rsid w:val="00E03A7A"/>
    <w:rsid w:val="00E1706D"/>
    <w:rsid w:val="00E175C6"/>
    <w:rsid w:val="00E21202"/>
    <w:rsid w:val="00E266CC"/>
    <w:rsid w:val="00E34DE6"/>
    <w:rsid w:val="00E35C69"/>
    <w:rsid w:val="00E369E4"/>
    <w:rsid w:val="00E371A2"/>
    <w:rsid w:val="00E42BAE"/>
    <w:rsid w:val="00E45223"/>
    <w:rsid w:val="00E46B8F"/>
    <w:rsid w:val="00E47126"/>
    <w:rsid w:val="00E47968"/>
    <w:rsid w:val="00E47972"/>
    <w:rsid w:val="00E53607"/>
    <w:rsid w:val="00E57AA1"/>
    <w:rsid w:val="00E608B7"/>
    <w:rsid w:val="00E61A60"/>
    <w:rsid w:val="00E631C2"/>
    <w:rsid w:val="00E6444E"/>
    <w:rsid w:val="00E64451"/>
    <w:rsid w:val="00E729F7"/>
    <w:rsid w:val="00E743F6"/>
    <w:rsid w:val="00E75CAD"/>
    <w:rsid w:val="00E76446"/>
    <w:rsid w:val="00E77564"/>
    <w:rsid w:val="00E815ED"/>
    <w:rsid w:val="00E825F5"/>
    <w:rsid w:val="00E867E3"/>
    <w:rsid w:val="00E94513"/>
    <w:rsid w:val="00E96A58"/>
    <w:rsid w:val="00EA2FEF"/>
    <w:rsid w:val="00EA5783"/>
    <w:rsid w:val="00EB357F"/>
    <w:rsid w:val="00EB54EB"/>
    <w:rsid w:val="00EB630B"/>
    <w:rsid w:val="00EC0714"/>
    <w:rsid w:val="00EC2F6D"/>
    <w:rsid w:val="00EC79CC"/>
    <w:rsid w:val="00ED35C8"/>
    <w:rsid w:val="00ED4136"/>
    <w:rsid w:val="00ED5B1D"/>
    <w:rsid w:val="00ED5C9C"/>
    <w:rsid w:val="00EE012C"/>
    <w:rsid w:val="00EE480B"/>
    <w:rsid w:val="00EF0175"/>
    <w:rsid w:val="00EF0766"/>
    <w:rsid w:val="00F01C1F"/>
    <w:rsid w:val="00F02FC7"/>
    <w:rsid w:val="00F037D8"/>
    <w:rsid w:val="00F03E8C"/>
    <w:rsid w:val="00F077F6"/>
    <w:rsid w:val="00F15891"/>
    <w:rsid w:val="00F17C7A"/>
    <w:rsid w:val="00F20A05"/>
    <w:rsid w:val="00F21C92"/>
    <w:rsid w:val="00F23498"/>
    <w:rsid w:val="00F237CD"/>
    <w:rsid w:val="00F251DE"/>
    <w:rsid w:val="00F27A5F"/>
    <w:rsid w:val="00F36CD5"/>
    <w:rsid w:val="00F37404"/>
    <w:rsid w:val="00F44A65"/>
    <w:rsid w:val="00F535CA"/>
    <w:rsid w:val="00F536C7"/>
    <w:rsid w:val="00F65D5D"/>
    <w:rsid w:val="00F66987"/>
    <w:rsid w:val="00F75680"/>
    <w:rsid w:val="00F75D96"/>
    <w:rsid w:val="00F767C4"/>
    <w:rsid w:val="00F76809"/>
    <w:rsid w:val="00F76A1F"/>
    <w:rsid w:val="00F84480"/>
    <w:rsid w:val="00F875F9"/>
    <w:rsid w:val="00F9199D"/>
    <w:rsid w:val="00F91E6B"/>
    <w:rsid w:val="00FA1C2C"/>
    <w:rsid w:val="00FA3E7F"/>
    <w:rsid w:val="00FA577A"/>
    <w:rsid w:val="00FA6C82"/>
    <w:rsid w:val="00FB203D"/>
    <w:rsid w:val="00FB715F"/>
    <w:rsid w:val="00FC6A86"/>
    <w:rsid w:val="00FD1A9E"/>
    <w:rsid w:val="00FE0407"/>
    <w:rsid w:val="00FE2A97"/>
    <w:rsid w:val="00FE532F"/>
    <w:rsid w:val="00FE58FE"/>
    <w:rsid w:val="00FE6960"/>
    <w:rsid w:val="00FE6EB2"/>
    <w:rsid w:val="00FE7E7A"/>
    <w:rsid w:val="00FF174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6027A8D"/>
  <w15:docId w15:val="{B2612C02-0CE2-4031-B291-A4F2B2E0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Loetelum"/>
    <w:qFormat/>
    <w:rsid w:val="00C11D43"/>
    <w:pPr>
      <w:keepNext/>
      <w:numPr>
        <w:numId w:val="2"/>
      </w:numPr>
      <w:spacing w:before="240" w:after="60"/>
      <w:ind w:left="0" w:firstLine="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022956"/>
    <w:pPr>
      <w:keepNext/>
      <w:numPr>
        <w:numId w:val="7"/>
      </w:numPr>
    </w:pPr>
    <w:rPr>
      <w:b/>
    </w:rPr>
  </w:style>
  <w:style w:type="paragraph" w:customStyle="1" w:styleId="Bodym">
    <w:name w:val="Bodym"/>
    <w:basedOn w:val="Bodyt"/>
    <w:rsid w:val="00A21113"/>
    <w:pPr>
      <w:numPr>
        <w:ilvl w:val="1"/>
        <w:numId w:val="7"/>
      </w:numPr>
      <w:spacing w:before="80"/>
      <w:jc w:val="left"/>
    </w:pPr>
  </w:style>
  <w:style w:type="paragraph" w:customStyle="1" w:styleId="Body">
    <w:name w:val="Body"/>
    <w:basedOn w:val="Normal"/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  <w:jc w:val="left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1E30C3"/>
    <w:pPr>
      <w:spacing w:before="960"/>
      <w:ind w:right="4706"/>
      <w:jc w:val="left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C121A8"/>
    <w:pPr>
      <w:spacing w:before="80" w:after="120"/>
    </w:pPr>
  </w:style>
  <w:style w:type="paragraph" w:customStyle="1" w:styleId="Pealkiri">
    <w:name w:val="Pealkiri"/>
    <w:basedOn w:val="BodyText"/>
    <w:next w:val="BodyText"/>
    <w:qFormat/>
    <w:rsid w:val="00C121A8"/>
    <w:pPr>
      <w:spacing w:before="960" w:after="600"/>
      <w:ind w:right="5103"/>
    </w:pPr>
    <w:rPr>
      <w:b/>
    </w:rPr>
  </w:style>
  <w:style w:type="paragraph" w:customStyle="1" w:styleId="Lisapealkiri">
    <w:name w:val="Lisapealkiri"/>
    <w:basedOn w:val="BodyText"/>
    <w:qFormat/>
    <w:rsid w:val="00D85AD9"/>
    <w:pPr>
      <w:tabs>
        <w:tab w:val="left" w:pos="6521"/>
      </w:tabs>
      <w:spacing w:before="240" w:after="240"/>
      <w:jc w:val="both"/>
    </w:pPr>
    <w:rPr>
      <w:b/>
      <w:bCs/>
    </w:rPr>
  </w:style>
  <w:style w:type="character" w:customStyle="1" w:styleId="HeaderChar">
    <w:name w:val="Header Char"/>
    <w:link w:val="Header"/>
    <w:rsid w:val="003426D3"/>
    <w:rPr>
      <w:sz w:val="24"/>
      <w:lang w:eastAsia="en-US"/>
    </w:rPr>
  </w:style>
  <w:style w:type="paragraph" w:customStyle="1" w:styleId="Nimiall">
    <w:name w:val="Nimi all"/>
    <w:basedOn w:val="Normal"/>
    <w:qFormat/>
    <w:rsid w:val="003426D3"/>
    <w:pPr>
      <w:tabs>
        <w:tab w:val="left" w:pos="5103"/>
      </w:tabs>
      <w:spacing w:before="960"/>
      <w:jc w:val="left"/>
    </w:pPr>
  </w:style>
  <w:style w:type="character" w:styleId="Strong">
    <w:name w:val="Strong"/>
    <w:uiPriority w:val="22"/>
    <w:qFormat/>
    <w:rsid w:val="00F535CA"/>
    <w:rPr>
      <w:b/>
      <w:bCs/>
    </w:rPr>
  </w:style>
  <w:style w:type="character" w:styleId="CommentReference">
    <w:name w:val="annotation reference"/>
    <w:uiPriority w:val="99"/>
    <w:rsid w:val="00F5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0D9C"/>
    <w:rPr>
      <w:sz w:val="20"/>
    </w:rPr>
  </w:style>
  <w:style w:type="character" w:customStyle="1" w:styleId="CommentTextChar">
    <w:name w:val="Comment Text Char"/>
    <w:link w:val="CommentText"/>
    <w:uiPriority w:val="99"/>
    <w:rsid w:val="00370D9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D9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DBD"/>
    <w:rPr>
      <w:b/>
      <w:bCs/>
    </w:rPr>
  </w:style>
  <w:style w:type="character" w:customStyle="1" w:styleId="CommentSubjectChar">
    <w:name w:val="Comment Subject Char"/>
    <w:link w:val="CommentSubject"/>
    <w:semiHidden/>
    <w:rsid w:val="00365DB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61A60"/>
    <w:pPr>
      <w:ind w:left="720"/>
      <w:contextualSpacing/>
    </w:pPr>
  </w:style>
  <w:style w:type="paragraph" w:styleId="Revision">
    <w:name w:val="Revision"/>
    <w:hidden/>
    <w:uiPriority w:val="99"/>
    <w:semiHidden/>
    <w:rsid w:val="00A83879"/>
    <w:rPr>
      <w:sz w:val="24"/>
      <w:lang w:eastAsia="en-US"/>
    </w:rPr>
  </w:style>
  <w:style w:type="paragraph" w:customStyle="1" w:styleId="Default">
    <w:name w:val="Default"/>
    <w:rsid w:val="00D05A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ealk1">
    <w:name w:val="Pealk1"/>
    <w:basedOn w:val="BodyText"/>
    <w:next w:val="BodyText"/>
    <w:qFormat/>
    <w:rsid w:val="00FE2A97"/>
    <w:pPr>
      <w:keepNext/>
      <w:tabs>
        <w:tab w:val="left" w:pos="6521"/>
      </w:tabs>
      <w:spacing w:before="40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271D-705C-4FC3-9A1F-53427751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1657</Words>
  <Characters>12457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Ethel Ader</dc:creator>
  <cp:keywords/>
  <cp:lastModifiedBy>Kairi Schütz</cp:lastModifiedBy>
  <cp:revision>4</cp:revision>
  <cp:lastPrinted>2016-04-13T10:15:00Z</cp:lastPrinted>
  <dcterms:created xsi:type="dcterms:W3CDTF">2021-05-21T10:04:00Z</dcterms:created>
  <dcterms:modified xsi:type="dcterms:W3CDTF">2021-05-24T08:17:00Z</dcterms:modified>
</cp:coreProperties>
</file>