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15" w:rsidRPr="00A50555" w:rsidRDefault="00336515">
      <w:pPr>
        <w:pStyle w:val="BodyText"/>
        <w:rPr>
          <w:rFonts w:ascii="Calibri" w:hAnsi="Calibri" w:cs="Calibri"/>
          <w:color w:val="000000" w:themeColor="text1"/>
          <w:sz w:val="22"/>
          <w:szCs w:val="22"/>
        </w:rPr>
      </w:pPr>
    </w:p>
    <w:p w:rsidR="0031245F" w:rsidRPr="00A50555" w:rsidRDefault="0031245F" w:rsidP="00336515">
      <w:pPr>
        <w:rPr>
          <w:rFonts w:ascii="Calibri" w:hAnsi="Calibri" w:cs="Calibri"/>
          <w:color w:val="000000" w:themeColor="text1"/>
          <w:sz w:val="22"/>
          <w:szCs w:val="22"/>
        </w:rPr>
        <w:sectPr w:rsidR="0031245F" w:rsidRPr="00A50555" w:rsidSect="00336515">
          <w:headerReference w:type="even" r:id="rId8"/>
          <w:headerReference w:type="default" r:id="rId9"/>
          <w:footerReference w:type="even" r:id="rId10"/>
          <w:type w:val="continuous"/>
          <w:pgSz w:w="11906" w:h="16838" w:code="9"/>
          <w:pgMar w:top="426" w:right="851" w:bottom="510" w:left="1701" w:header="454" w:footer="510" w:gutter="0"/>
          <w:cols w:space="708"/>
          <w:titlePg/>
        </w:sectPr>
      </w:pPr>
    </w:p>
    <w:p w:rsidR="001E30C3" w:rsidRPr="00A50555" w:rsidRDefault="00336515" w:rsidP="00336515">
      <w:pPr>
        <w:pStyle w:val="Dokumendinimetus"/>
        <w:spacing w:before="0" w:after="100" w:afterAutospacing="1"/>
        <w:ind w:right="-2"/>
        <w:jc w:val="right"/>
        <w:rPr>
          <w:rFonts w:ascii="Calibri" w:hAnsi="Calibri" w:cs="Calibri"/>
          <w:color w:val="000000" w:themeColor="text1"/>
          <w:sz w:val="22"/>
          <w:szCs w:val="22"/>
        </w:rPr>
      </w:pPr>
      <w:r w:rsidRPr="00A50555">
        <w:rPr>
          <w:rFonts w:ascii="Calibri" w:hAnsi="Calibri" w:cs="Calibri"/>
          <w:color w:val="000000" w:themeColor="text1"/>
          <w:sz w:val="22"/>
          <w:szCs w:val="22"/>
        </w:rPr>
        <w:t>terviktekst</w:t>
      </w:r>
    </w:p>
    <w:p w:rsidR="00CF2B59" w:rsidRPr="00A50555" w:rsidRDefault="00336515" w:rsidP="00CF2B59">
      <w:pPr>
        <w:pStyle w:val="Tallinn"/>
        <w:tabs>
          <w:tab w:val="left" w:pos="6285"/>
        </w:tabs>
        <w:spacing w:before="100" w:beforeAutospacing="1"/>
        <w:rPr>
          <w:rFonts w:ascii="Calibri" w:hAnsi="Calibri" w:cs="Calibri"/>
          <w:color w:val="000000" w:themeColor="text1"/>
          <w:sz w:val="22"/>
          <w:szCs w:val="22"/>
        </w:rPr>
      </w:pPr>
      <w:r w:rsidRPr="00A50555">
        <w:rPr>
          <w:rFonts w:ascii="Calibri" w:hAnsi="Calibri" w:cs="Calibri"/>
          <w:color w:val="000000" w:themeColor="text1"/>
          <w:sz w:val="22"/>
          <w:szCs w:val="22"/>
        </w:rPr>
        <w:t>Kehtestatud T</w:t>
      </w:r>
      <w:r w:rsidR="00CF2B59" w:rsidRPr="00A50555">
        <w:rPr>
          <w:rFonts w:ascii="Calibri" w:hAnsi="Calibri" w:cs="Calibri"/>
          <w:color w:val="000000" w:themeColor="text1"/>
          <w:sz w:val="22"/>
          <w:szCs w:val="22"/>
        </w:rPr>
        <w:t>allinna Tehnikaülikooli</w:t>
      </w:r>
      <w:r w:rsidRPr="00A50555">
        <w:rPr>
          <w:rFonts w:ascii="Calibri" w:hAnsi="Calibri" w:cs="Calibri"/>
          <w:color w:val="000000" w:themeColor="text1"/>
          <w:sz w:val="22"/>
          <w:szCs w:val="22"/>
        </w:rPr>
        <w:t xml:space="preserve"> kuratooriumi 30.10.2015 määrusega nr 4</w:t>
      </w:r>
      <w:r w:rsidR="00CF2B59" w:rsidRPr="00A50555">
        <w:rPr>
          <w:rFonts w:ascii="Calibri" w:hAnsi="Calibri" w:cs="Calibri"/>
          <w:color w:val="000000" w:themeColor="text1"/>
          <w:sz w:val="22"/>
          <w:szCs w:val="22"/>
        </w:rPr>
        <w:br/>
        <w:t>Muudetud Tallinna Tehnikaülikooli nõukogu 08.11.2019 määrusega nr 2 (jõustunud 25.11.2019)</w:t>
      </w:r>
    </w:p>
    <w:p w:rsidR="00336515" w:rsidRPr="00A50555" w:rsidRDefault="00336515" w:rsidP="00336515">
      <w:pPr>
        <w:pStyle w:val="BodyText"/>
        <w:rPr>
          <w:rFonts w:ascii="Calibri" w:hAnsi="Calibri" w:cs="Calibri"/>
          <w:color w:val="000000" w:themeColor="text1"/>
          <w:sz w:val="22"/>
          <w:szCs w:val="22"/>
        </w:rPr>
      </w:pPr>
    </w:p>
    <w:p w:rsidR="001E30C3" w:rsidRPr="00A50555" w:rsidRDefault="00386B20" w:rsidP="00336515">
      <w:pPr>
        <w:pStyle w:val="Pealkiri"/>
        <w:spacing w:before="0" w:after="0"/>
        <w:ind w:right="4961"/>
        <w:rPr>
          <w:rFonts w:ascii="Calibri" w:hAnsi="Calibri" w:cs="Calibri"/>
          <w:color w:val="000000" w:themeColor="text1"/>
          <w:sz w:val="22"/>
          <w:szCs w:val="22"/>
        </w:rPr>
      </w:pPr>
      <w:r w:rsidRPr="00A50555">
        <w:rPr>
          <w:rFonts w:ascii="Calibri" w:hAnsi="Calibri" w:cs="Calibri"/>
          <w:color w:val="000000" w:themeColor="text1"/>
          <w:sz w:val="22"/>
          <w:szCs w:val="22"/>
        </w:rPr>
        <w:t>Intellektuaalse omandi käsutamise alused</w:t>
      </w:r>
    </w:p>
    <w:p w:rsidR="00336515" w:rsidRPr="00A50555" w:rsidRDefault="00336515" w:rsidP="00336515">
      <w:pPr>
        <w:pStyle w:val="BodyText"/>
        <w:rPr>
          <w:rFonts w:ascii="Calibri" w:hAnsi="Calibri" w:cs="Calibri"/>
          <w:color w:val="000000" w:themeColor="text1"/>
          <w:sz w:val="22"/>
          <w:szCs w:val="22"/>
        </w:rPr>
      </w:pPr>
    </w:p>
    <w:p w:rsidR="001E30C3" w:rsidRPr="00A50555" w:rsidRDefault="001E30C3">
      <w:pPr>
        <w:pStyle w:val="BodyText"/>
        <w:tabs>
          <w:tab w:val="left" w:pos="6521"/>
        </w:tabs>
        <w:rPr>
          <w:rFonts w:ascii="Calibri" w:hAnsi="Calibri" w:cs="Calibri"/>
          <w:color w:val="000000" w:themeColor="text1"/>
          <w:sz w:val="22"/>
          <w:szCs w:val="22"/>
        </w:rPr>
      </w:pPr>
      <w:r w:rsidRPr="00A50555">
        <w:rPr>
          <w:rFonts w:ascii="Calibri" w:hAnsi="Calibri" w:cs="Calibri"/>
          <w:color w:val="000000" w:themeColor="text1"/>
          <w:sz w:val="22"/>
          <w:szCs w:val="22"/>
        </w:rPr>
        <w:t xml:space="preserve">Määrus kehtestatakse </w:t>
      </w:r>
      <w:r w:rsidR="00CF2B59" w:rsidRPr="00A50555">
        <w:rPr>
          <w:rFonts w:ascii="Calibri" w:hAnsi="Calibri" w:cs="Calibri"/>
          <w:color w:val="000000" w:themeColor="text1"/>
          <w:sz w:val="22"/>
          <w:szCs w:val="22"/>
        </w:rPr>
        <w:t xml:space="preserve">Tallinna Tehnikaülikooli </w:t>
      </w:r>
      <w:r w:rsidR="000954B2" w:rsidRPr="00A50555">
        <w:rPr>
          <w:rFonts w:ascii="Calibri" w:hAnsi="Calibri" w:cs="Calibri"/>
          <w:color w:val="000000" w:themeColor="text1"/>
          <w:sz w:val="22"/>
          <w:szCs w:val="22"/>
        </w:rPr>
        <w:t xml:space="preserve">kuratooriumi 25.11.2014 määruse nr 2 „Vara omandamise, piiratud asjaõigusega koormamise ja võõrandamise põhimõtted“ § 5 lõige 1 </w:t>
      </w:r>
      <w:r w:rsidRPr="00A50555">
        <w:rPr>
          <w:rFonts w:ascii="Calibri" w:hAnsi="Calibri" w:cs="Calibri"/>
          <w:color w:val="000000" w:themeColor="text1"/>
          <w:sz w:val="22"/>
          <w:szCs w:val="22"/>
        </w:rPr>
        <w:t>alusel.</w:t>
      </w:r>
    </w:p>
    <w:p w:rsidR="001E30C3" w:rsidRPr="00A50555" w:rsidRDefault="001E30C3">
      <w:pPr>
        <w:pStyle w:val="BodyText"/>
        <w:tabs>
          <w:tab w:val="left" w:pos="6521"/>
        </w:tabs>
        <w:rPr>
          <w:rFonts w:ascii="Calibri" w:hAnsi="Calibri" w:cs="Calibri"/>
          <w:color w:val="000000" w:themeColor="text1"/>
          <w:sz w:val="22"/>
          <w:szCs w:val="22"/>
        </w:rPr>
      </w:pPr>
    </w:p>
    <w:p w:rsidR="00386B20" w:rsidRPr="00A50555" w:rsidRDefault="00386B20" w:rsidP="00386B20">
      <w:pPr>
        <w:pStyle w:val="Loetelum"/>
        <w:keepNext w:val="0"/>
        <w:numPr>
          <w:ilvl w:val="0"/>
          <w:numId w:val="4"/>
        </w:numPr>
        <w:spacing w:before="200"/>
        <w:rPr>
          <w:rFonts w:ascii="Calibri" w:hAnsi="Calibri" w:cs="Calibri"/>
          <w:color w:val="000000" w:themeColor="text1"/>
          <w:sz w:val="22"/>
          <w:szCs w:val="22"/>
        </w:rPr>
      </w:pPr>
      <w:r w:rsidRPr="00A50555">
        <w:rPr>
          <w:rFonts w:ascii="Calibri" w:hAnsi="Calibri" w:cs="Calibri"/>
          <w:color w:val="000000" w:themeColor="text1"/>
          <w:sz w:val="22"/>
          <w:szCs w:val="22"/>
        </w:rPr>
        <w:t>Reguleerimisala</w:t>
      </w:r>
    </w:p>
    <w:p w:rsidR="00386B20" w:rsidRPr="00A50555" w:rsidRDefault="00386B20" w:rsidP="00386B20">
      <w:pPr>
        <w:pStyle w:val="Bodym"/>
        <w:numPr>
          <w:ilvl w:val="0"/>
          <w:numId w:val="0"/>
        </w:numPr>
        <w:tabs>
          <w:tab w:val="left" w:pos="284"/>
        </w:tabs>
        <w:rPr>
          <w:rFonts w:ascii="Calibri" w:hAnsi="Calibri" w:cs="Calibri"/>
          <w:color w:val="000000" w:themeColor="text1"/>
          <w:sz w:val="22"/>
          <w:szCs w:val="22"/>
        </w:rPr>
      </w:pPr>
      <w:r w:rsidRPr="00A50555">
        <w:rPr>
          <w:rFonts w:ascii="Calibri" w:hAnsi="Calibri" w:cs="Calibri"/>
          <w:color w:val="000000" w:themeColor="text1"/>
          <w:sz w:val="22"/>
          <w:szCs w:val="22"/>
        </w:rPr>
        <w:t>Määrusega sätestatakse Tallinna Tehnikaülik</w:t>
      </w:r>
      <w:bookmarkStart w:id="0" w:name="_GoBack"/>
      <w:bookmarkEnd w:id="0"/>
      <w:r w:rsidRPr="00A50555">
        <w:rPr>
          <w:rFonts w:ascii="Calibri" w:hAnsi="Calibri" w:cs="Calibri"/>
          <w:color w:val="000000" w:themeColor="text1"/>
          <w:sz w:val="22"/>
          <w:szCs w:val="22"/>
        </w:rPr>
        <w:t>oolile kuuluva intellektuaalse omandi võõrandamise ja kasutusse andmise (käsutamise) alused.</w:t>
      </w:r>
    </w:p>
    <w:p w:rsidR="00386B20" w:rsidRPr="00A50555" w:rsidRDefault="00386B20" w:rsidP="00386B20">
      <w:pPr>
        <w:pStyle w:val="Loetelum"/>
        <w:keepNext w:val="0"/>
        <w:numPr>
          <w:ilvl w:val="0"/>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Intellektuaalse omandi kuuluvus</w:t>
      </w:r>
    </w:p>
    <w:p w:rsidR="00386B20" w:rsidRPr="00A50555" w:rsidRDefault="00386B20" w:rsidP="00386B20">
      <w:pPr>
        <w:pStyle w:val="Bodym"/>
        <w:numPr>
          <w:ilvl w:val="0"/>
          <w:numId w:val="0"/>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Õigused autori loomingulise tegevuse tulemustele võivad kuuluda </w:t>
      </w:r>
      <w:r w:rsidR="00CF2B59" w:rsidRPr="00A50555">
        <w:rPr>
          <w:rFonts w:ascii="Calibri" w:hAnsi="Calibri" w:cs="Calibri"/>
          <w:color w:val="000000" w:themeColor="text1"/>
          <w:sz w:val="22"/>
          <w:szCs w:val="22"/>
        </w:rPr>
        <w:t xml:space="preserve">Tallinna Tehnikaülikoolile </w:t>
      </w:r>
      <w:r w:rsidRPr="00A50555">
        <w:rPr>
          <w:rFonts w:ascii="Calibri" w:hAnsi="Calibri" w:cs="Calibri"/>
          <w:color w:val="000000" w:themeColor="text1"/>
          <w:sz w:val="22"/>
          <w:szCs w:val="22"/>
        </w:rPr>
        <w:t xml:space="preserve">kas intellektuaalset omandit reguleerivate õigusaktide, autori ja </w:t>
      </w:r>
      <w:r w:rsidR="00CF2B59" w:rsidRPr="00A50555">
        <w:rPr>
          <w:rFonts w:ascii="Calibri" w:hAnsi="Calibri" w:cs="Calibri"/>
          <w:color w:val="000000" w:themeColor="text1"/>
          <w:sz w:val="22"/>
          <w:szCs w:val="22"/>
        </w:rPr>
        <w:t>ülikooli</w:t>
      </w:r>
      <w:r w:rsidRPr="00A50555">
        <w:rPr>
          <w:rFonts w:ascii="Calibri" w:hAnsi="Calibri" w:cs="Calibri"/>
          <w:color w:val="000000" w:themeColor="text1"/>
          <w:sz w:val="22"/>
          <w:szCs w:val="22"/>
        </w:rPr>
        <w:t xml:space="preserve"> vahel sõlmitud lepingu või muul alusel. </w:t>
      </w:r>
    </w:p>
    <w:p w:rsidR="00386B20" w:rsidRPr="00A50555" w:rsidRDefault="00386B20" w:rsidP="00386B20">
      <w:pPr>
        <w:pStyle w:val="Loetelum"/>
        <w:keepNext w:val="0"/>
        <w:numPr>
          <w:ilvl w:val="0"/>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Intellektuaalse omandi käsutamise otsustamine </w:t>
      </w:r>
    </w:p>
    <w:p w:rsidR="00386B20" w:rsidRPr="00A50555" w:rsidRDefault="00CF2B59"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Tallinna Tehnikaülikool </w:t>
      </w:r>
      <w:r w:rsidR="00386B20" w:rsidRPr="00A50555">
        <w:rPr>
          <w:rFonts w:ascii="Calibri" w:hAnsi="Calibri" w:cs="Calibri"/>
          <w:color w:val="000000" w:themeColor="text1"/>
          <w:sz w:val="22"/>
          <w:szCs w:val="22"/>
        </w:rPr>
        <w:t xml:space="preserve">käsutab intellektuaalset omandit seaduse, käesoleva määruse, </w:t>
      </w:r>
      <w:r w:rsidRPr="00A50555">
        <w:rPr>
          <w:rFonts w:ascii="Calibri" w:hAnsi="Calibri" w:cs="Calibri"/>
          <w:color w:val="000000" w:themeColor="text1"/>
          <w:sz w:val="22"/>
          <w:szCs w:val="22"/>
        </w:rPr>
        <w:t>ülikooli</w:t>
      </w:r>
      <w:r w:rsidR="00386B20" w:rsidRPr="00A50555">
        <w:rPr>
          <w:rFonts w:ascii="Calibri" w:hAnsi="Calibri" w:cs="Calibri"/>
          <w:color w:val="000000" w:themeColor="text1"/>
          <w:sz w:val="22"/>
          <w:szCs w:val="22"/>
        </w:rPr>
        <w:t xml:space="preserve"> põhikirja ja selle alusel antud õigusaktides ettenähtud korras. </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eastAsia="Arial Unicode MS" w:hAnsi="Calibri" w:cs="Calibri"/>
          <w:color w:val="000000" w:themeColor="text1"/>
          <w:sz w:val="22"/>
          <w:szCs w:val="22"/>
        </w:rPr>
        <w:t xml:space="preserve">Intellektuaalse omandi käsutamise </w:t>
      </w:r>
      <w:r w:rsidRPr="00A50555">
        <w:rPr>
          <w:rFonts w:ascii="Calibri" w:hAnsi="Calibri" w:cs="Calibri"/>
          <w:color w:val="000000" w:themeColor="text1"/>
          <w:sz w:val="22"/>
          <w:szCs w:val="22"/>
        </w:rPr>
        <w:t>otsustab rektor või tema poolt nimetatud või volitatud isik.</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Intellektuaalse omandi kä</w:t>
      </w:r>
      <w:r w:rsidR="00CF2B59" w:rsidRPr="00A50555">
        <w:rPr>
          <w:rFonts w:ascii="Calibri" w:hAnsi="Calibri" w:cs="Calibri"/>
          <w:color w:val="000000" w:themeColor="text1"/>
          <w:sz w:val="22"/>
          <w:szCs w:val="22"/>
        </w:rPr>
        <w:t>sutamise tehingud peavad olema ülikoolile</w:t>
      </w:r>
      <w:r w:rsidRPr="00A50555">
        <w:rPr>
          <w:rFonts w:ascii="Calibri" w:hAnsi="Calibri" w:cs="Calibri"/>
          <w:color w:val="000000" w:themeColor="text1"/>
          <w:sz w:val="22"/>
          <w:szCs w:val="22"/>
        </w:rPr>
        <w:t xml:space="preserve"> vajalikud ja kontrollitavad.</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Intellektuaalse omandi käsutamisel lähtutakse </w:t>
      </w:r>
      <w:r w:rsidR="00CF2B59" w:rsidRPr="00A50555">
        <w:rPr>
          <w:rFonts w:ascii="Calibri" w:hAnsi="Calibri" w:cs="Calibri"/>
          <w:color w:val="000000" w:themeColor="text1"/>
          <w:sz w:val="22"/>
          <w:szCs w:val="22"/>
        </w:rPr>
        <w:t xml:space="preserve">ülikooli </w:t>
      </w:r>
      <w:r w:rsidRPr="00A50555">
        <w:rPr>
          <w:rFonts w:ascii="Calibri" w:hAnsi="Calibri" w:cs="Calibri"/>
          <w:color w:val="000000" w:themeColor="text1"/>
          <w:sz w:val="22"/>
          <w:szCs w:val="22"/>
        </w:rPr>
        <w:t>eesmärkidest, samuti õppe-, teadus- või arendustegevuseks sõlmitud või sõlmitavatest lepingutest.</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Intellektuaalset omandit käsutatakse </w:t>
      </w:r>
      <w:r w:rsidR="00CF2B59" w:rsidRPr="00A50555">
        <w:rPr>
          <w:rFonts w:ascii="Calibri" w:hAnsi="Calibri" w:cs="Calibri"/>
          <w:color w:val="000000" w:themeColor="text1"/>
          <w:sz w:val="22"/>
          <w:szCs w:val="22"/>
        </w:rPr>
        <w:t>ülikoolile</w:t>
      </w:r>
      <w:r w:rsidRPr="00A50555">
        <w:rPr>
          <w:rFonts w:ascii="Calibri" w:hAnsi="Calibri" w:cs="Calibri"/>
          <w:color w:val="000000" w:themeColor="text1"/>
          <w:sz w:val="22"/>
          <w:szCs w:val="22"/>
        </w:rPr>
        <w:t xml:space="preserve"> võimalikult kasulikul viisil, lähtudes </w:t>
      </w:r>
      <w:r w:rsidR="00CF2B59" w:rsidRPr="00A50555">
        <w:rPr>
          <w:rFonts w:ascii="Calibri" w:hAnsi="Calibri" w:cs="Calibri"/>
          <w:color w:val="000000" w:themeColor="text1"/>
          <w:sz w:val="22"/>
          <w:szCs w:val="22"/>
        </w:rPr>
        <w:t>ülikooli</w:t>
      </w:r>
      <w:r w:rsidRPr="00A50555">
        <w:rPr>
          <w:rFonts w:ascii="Calibri" w:hAnsi="Calibri" w:cs="Calibri"/>
          <w:color w:val="000000" w:themeColor="text1"/>
          <w:sz w:val="22"/>
          <w:szCs w:val="22"/>
        </w:rPr>
        <w:t xml:space="preserve"> strateegilistest eesmärkidest, maksimaalse võimaliku tulu saamisest, teenides Eesti majandust, ettevõtlust ja tööstust vastastikku kasulikus koostöös autoritega. </w:t>
      </w:r>
    </w:p>
    <w:p w:rsidR="00386B20" w:rsidRPr="00A50555" w:rsidRDefault="00CF2B59"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Ülikool </w:t>
      </w:r>
      <w:r w:rsidR="00386B20" w:rsidRPr="00A50555">
        <w:rPr>
          <w:rFonts w:ascii="Calibri" w:hAnsi="Calibri" w:cs="Calibri"/>
          <w:color w:val="000000" w:themeColor="text1"/>
          <w:sz w:val="22"/>
          <w:szCs w:val="22"/>
        </w:rPr>
        <w:t xml:space="preserve">võib loobuda varalistest õigustest eelkõige autori kasuks, kui nende õiguste omamine ei ole </w:t>
      </w:r>
      <w:r w:rsidRPr="00A50555">
        <w:rPr>
          <w:rFonts w:ascii="Calibri" w:hAnsi="Calibri" w:cs="Calibri"/>
          <w:color w:val="000000" w:themeColor="text1"/>
          <w:sz w:val="22"/>
          <w:szCs w:val="22"/>
        </w:rPr>
        <w:t>ülikoolile</w:t>
      </w:r>
      <w:r w:rsidR="00386B20" w:rsidRPr="00A50555">
        <w:rPr>
          <w:rFonts w:ascii="Calibri" w:hAnsi="Calibri" w:cs="Calibri"/>
          <w:color w:val="000000" w:themeColor="text1"/>
          <w:sz w:val="22"/>
          <w:szCs w:val="22"/>
        </w:rPr>
        <w:t xml:space="preserve"> vajalik. </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Kui intellektuaalse omandi käsutustehingu väärtus ületab 500 000 eurot, otsustab tehingu tegemise rektor </w:t>
      </w:r>
      <w:r w:rsidR="00CF2B59" w:rsidRPr="00A50555">
        <w:rPr>
          <w:rFonts w:ascii="Calibri" w:hAnsi="Calibri" w:cs="Calibri"/>
          <w:color w:val="000000" w:themeColor="text1"/>
          <w:sz w:val="22"/>
          <w:szCs w:val="22"/>
        </w:rPr>
        <w:t>nõukogu</w:t>
      </w:r>
      <w:r w:rsidRPr="00A50555">
        <w:rPr>
          <w:rFonts w:ascii="Calibri" w:hAnsi="Calibri" w:cs="Calibri"/>
          <w:color w:val="000000" w:themeColor="text1"/>
          <w:sz w:val="22"/>
          <w:szCs w:val="22"/>
        </w:rPr>
        <w:t xml:space="preserve"> nõusolekul.   </w:t>
      </w:r>
    </w:p>
    <w:p w:rsidR="00386B20" w:rsidRPr="00A50555" w:rsidRDefault="00386B20" w:rsidP="00386B20">
      <w:pPr>
        <w:pStyle w:val="Loetelum"/>
        <w:numPr>
          <w:ilvl w:val="0"/>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Tulu jaotamine </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Intellektuaalse omandi käsutamisest saadud tuluks loetakse tulu, millest on maha arvatud kõik selle haldamisega seotud kulud, sh õiguskaitse taotlemise, saamise, jõushoidmise ja kasutusse andmisega seotud kulud ning kohustused kolmandate isikute ees. Autorile ja turustajale jaotatav tulu sisaldab kõiki väljamaksega seotud makse, kinnipidamisi ja muid rahalisi kohustusi.</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Tulu jaotamisel lähtutakse järgmistest põhimõtetest: </w:t>
      </w:r>
    </w:p>
    <w:p w:rsidR="00386B20" w:rsidRPr="00A50555" w:rsidRDefault="00386B20" w:rsidP="00386B20">
      <w:pPr>
        <w:pStyle w:val="Bodym1"/>
        <w:numPr>
          <w:ilvl w:val="2"/>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autoriõiguse ja autoriõigusega kaasnevate õiguste käsutamisel jääb tulu õiguste omajale, kui ei ole kokku lepitud teisiti;</w:t>
      </w:r>
    </w:p>
    <w:p w:rsidR="00386B20" w:rsidRPr="00A50555" w:rsidRDefault="00386B20" w:rsidP="00386B20">
      <w:pPr>
        <w:pStyle w:val="Bodym1"/>
        <w:numPr>
          <w:ilvl w:val="2"/>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tööstusomandi käsutamisel jagatakse tulu selliselt, et </w:t>
      </w:r>
      <w:r w:rsidR="00CF2B59" w:rsidRPr="00A50555">
        <w:rPr>
          <w:rFonts w:ascii="Calibri" w:hAnsi="Calibri" w:cs="Calibri"/>
          <w:color w:val="000000" w:themeColor="text1"/>
          <w:sz w:val="22"/>
          <w:szCs w:val="22"/>
        </w:rPr>
        <w:t xml:space="preserve">autorite tulu moodustab 40%, ülikooli </w:t>
      </w:r>
      <w:r w:rsidRPr="00A50555">
        <w:rPr>
          <w:rFonts w:ascii="Calibri" w:hAnsi="Calibri" w:cs="Calibri"/>
          <w:color w:val="000000" w:themeColor="text1"/>
          <w:sz w:val="22"/>
          <w:szCs w:val="22"/>
        </w:rPr>
        <w:t xml:space="preserve">tulu 20% ja turustaja tulu 40%. </w:t>
      </w:r>
    </w:p>
    <w:p w:rsidR="00386B20" w:rsidRPr="00A50555" w:rsidRDefault="00386B20" w:rsidP="00386B20">
      <w:pPr>
        <w:pStyle w:val="Loetelum"/>
        <w:keepNext w:val="0"/>
        <w:numPr>
          <w:ilvl w:val="0"/>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Rakendussätted</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 xml:space="preserve">Rektor </w:t>
      </w:r>
      <w:r w:rsidR="00D822CF" w:rsidRPr="00A50555">
        <w:rPr>
          <w:rFonts w:ascii="Calibri" w:hAnsi="Calibri" w:cs="Calibri"/>
          <w:color w:val="000000" w:themeColor="text1"/>
          <w:sz w:val="22"/>
          <w:szCs w:val="22"/>
        </w:rPr>
        <w:t>kinnitab</w:t>
      </w:r>
      <w:r w:rsidRPr="00A50555">
        <w:rPr>
          <w:rFonts w:ascii="Calibri" w:hAnsi="Calibri" w:cs="Calibri"/>
          <w:color w:val="000000" w:themeColor="text1"/>
          <w:sz w:val="22"/>
          <w:szCs w:val="22"/>
        </w:rPr>
        <w:t xml:space="preserve"> käesoleva määruse alusel intellektuaalse omandi käsutamise</w:t>
      </w:r>
      <w:r w:rsidR="00DA3596" w:rsidRPr="00A50555">
        <w:rPr>
          <w:rFonts w:ascii="Calibri" w:hAnsi="Calibri" w:cs="Calibri"/>
          <w:color w:val="000000" w:themeColor="text1"/>
          <w:sz w:val="22"/>
          <w:szCs w:val="22"/>
        </w:rPr>
        <w:t xml:space="preserve"> ja kasutamise</w:t>
      </w:r>
      <w:r w:rsidRPr="00A50555">
        <w:rPr>
          <w:rFonts w:ascii="Calibri" w:hAnsi="Calibri" w:cs="Calibri"/>
          <w:color w:val="000000" w:themeColor="text1"/>
          <w:sz w:val="22"/>
          <w:szCs w:val="22"/>
        </w:rPr>
        <w:t xml:space="preserve"> korra.</w:t>
      </w:r>
    </w:p>
    <w:p w:rsidR="00386B20" w:rsidRPr="00A50555" w:rsidRDefault="00386B20" w:rsidP="00386B20">
      <w:pPr>
        <w:pStyle w:val="Bodym"/>
        <w:numPr>
          <w:ilvl w:val="1"/>
          <w:numId w:val="4"/>
        </w:numPr>
        <w:rPr>
          <w:rFonts w:ascii="Calibri" w:hAnsi="Calibri" w:cs="Calibri"/>
          <w:color w:val="000000" w:themeColor="text1"/>
          <w:sz w:val="22"/>
          <w:szCs w:val="22"/>
        </w:rPr>
      </w:pPr>
      <w:r w:rsidRPr="00A50555">
        <w:rPr>
          <w:rFonts w:ascii="Calibri" w:hAnsi="Calibri" w:cs="Calibri"/>
          <w:color w:val="000000" w:themeColor="text1"/>
          <w:sz w:val="22"/>
          <w:szCs w:val="22"/>
        </w:rPr>
        <w:t>Määrus jõustub allkirjastamisel.</w:t>
      </w:r>
      <w:r w:rsidRPr="00A50555">
        <w:rPr>
          <w:rFonts w:ascii="Calibri" w:hAnsi="Calibri" w:cs="Calibri"/>
          <w:noProof/>
          <w:color w:val="000000" w:themeColor="text1"/>
          <w:sz w:val="22"/>
          <w:szCs w:val="22"/>
          <w:lang w:eastAsia="et-EE"/>
        </w:rPr>
        <w:t xml:space="preserve"> </w:t>
      </w:r>
    </w:p>
    <w:p w:rsidR="0031245F" w:rsidRPr="00A50555" w:rsidRDefault="0031245F" w:rsidP="00F22F77">
      <w:pPr>
        <w:rPr>
          <w:rFonts w:ascii="Calibri" w:hAnsi="Calibri" w:cs="Calibri"/>
          <w:color w:val="000000" w:themeColor="text1"/>
          <w:sz w:val="22"/>
          <w:szCs w:val="22"/>
        </w:rPr>
      </w:pPr>
    </w:p>
    <w:sectPr w:rsidR="0031245F" w:rsidRPr="00A50555" w:rsidSect="00CF6EFF">
      <w:type w:val="continuous"/>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20" w:rsidRDefault="00386B20">
      <w:r>
        <w:separator/>
      </w:r>
    </w:p>
  </w:endnote>
  <w:endnote w:type="continuationSeparator" w:id="0">
    <w:p w:rsidR="00386B20" w:rsidRDefault="0038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20" w:rsidRDefault="00386B20">
      <w:r>
        <w:separator/>
      </w:r>
    </w:p>
  </w:footnote>
  <w:footnote w:type="continuationSeparator" w:id="0">
    <w:p w:rsidR="00386B20" w:rsidRDefault="0038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rsidP="00D86176">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515">
      <w:rPr>
        <w:rStyle w:val="PageNumber"/>
        <w:noProof/>
      </w:rPr>
      <w:t>2</w:t>
    </w:r>
    <w:r>
      <w:rPr>
        <w:rStyle w:val="PageNumber"/>
      </w:rPr>
      <w:fldChar w:fldCharType="end"/>
    </w:r>
  </w:p>
  <w:p w:rsidR="006E63F7" w:rsidRDefault="006E6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53EE256C"/>
    <w:lvl w:ilvl="0">
      <w:start w:val="1"/>
      <w:numFmt w:val="decimal"/>
      <w:pStyle w:val="Heading1"/>
      <w:suff w:val="nothing"/>
      <w:lvlText w:val="%1. peatükk"/>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20"/>
    <w:rsid w:val="00022956"/>
    <w:rsid w:val="00045E22"/>
    <w:rsid w:val="00056A9C"/>
    <w:rsid w:val="00077345"/>
    <w:rsid w:val="000954B2"/>
    <w:rsid w:val="000D7B48"/>
    <w:rsid w:val="000E0598"/>
    <w:rsid w:val="00136C3A"/>
    <w:rsid w:val="00142EAD"/>
    <w:rsid w:val="001873E4"/>
    <w:rsid w:val="001E0159"/>
    <w:rsid w:val="001E30C3"/>
    <w:rsid w:val="00210F74"/>
    <w:rsid w:val="002C60A6"/>
    <w:rsid w:val="0031245F"/>
    <w:rsid w:val="003159EB"/>
    <w:rsid w:val="00336515"/>
    <w:rsid w:val="0037162D"/>
    <w:rsid w:val="00386B20"/>
    <w:rsid w:val="003E0055"/>
    <w:rsid w:val="004012EB"/>
    <w:rsid w:val="0040333E"/>
    <w:rsid w:val="0040530C"/>
    <w:rsid w:val="0040547F"/>
    <w:rsid w:val="004107CA"/>
    <w:rsid w:val="00453FC0"/>
    <w:rsid w:val="004555CC"/>
    <w:rsid w:val="00466707"/>
    <w:rsid w:val="00485C13"/>
    <w:rsid w:val="004B0E0D"/>
    <w:rsid w:val="004B6534"/>
    <w:rsid w:val="004D39AE"/>
    <w:rsid w:val="004E660B"/>
    <w:rsid w:val="004F1BF1"/>
    <w:rsid w:val="005B7CED"/>
    <w:rsid w:val="00655B65"/>
    <w:rsid w:val="006715D2"/>
    <w:rsid w:val="00685B50"/>
    <w:rsid w:val="00685D9B"/>
    <w:rsid w:val="006C0CB4"/>
    <w:rsid w:val="006C452A"/>
    <w:rsid w:val="006E1CF0"/>
    <w:rsid w:val="006E3F85"/>
    <w:rsid w:val="006E63F7"/>
    <w:rsid w:val="006F4067"/>
    <w:rsid w:val="007174FE"/>
    <w:rsid w:val="0074053D"/>
    <w:rsid w:val="00771B92"/>
    <w:rsid w:val="00796BD0"/>
    <w:rsid w:val="00870F2D"/>
    <w:rsid w:val="008974DB"/>
    <w:rsid w:val="008F4EDB"/>
    <w:rsid w:val="009745AE"/>
    <w:rsid w:val="00A204FA"/>
    <w:rsid w:val="00A21113"/>
    <w:rsid w:val="00A50555"/>
    <w:rsid w:val="00A77BDA"/>
    <w:rsid w:val="00AA13D1"/>
    <w:rsid w:val="00AD4F2A"/>
    <w:rsid w:val="00AD5505"/>
    <w:rsid w:val="00B23D2E"/>
    <w:rsid w:val="00B43199"/>
    <w:rsid w:val="00B52D57"/>
    <w:rsid w:val="00B666E3"/>
    <w:rsid w:val="00B67AAA"/>
    <w:rsid w:val="00B937B6"/>
    <w:rsid w:val="00BC75A6"/>
    <w:rsid w:val="00C11D43"/>
    <w:rsid w:val="00C51C87"/>
    <w:rsid w:val="00C570F2"/>
    <w:rsid w:val="00CC0123"/>
    <w:rsid w:val="00CE5D1C"/>
    <w:rsid w:val="00CF2B59"/>
    <w:rsid w:val="00CF6EFF"/>
    <w:rsid w:val="00D10066"/>
    <w:rsid w:val="00D73B85"/>
    <w:rsid w:val="00D803FE"/>
    <w:rsid w:val="00D822CF"/>
    <w:rsid w:val="00D86176"/>
    <w:rsid w:val="00DA3596"/>
    <w:rsid w:val="00DA41AF"/>
    <w:rsid w:val="00E276EC"/>
    <w:rsid w:val="00E35C69"/>
    <w:rsid w:val="00E77564"/>
    <w:rsid w:val="00E825F5"/>
    <w:rsid w:val="00EA30E6"/>
    <w:rsid w:val="00EB357F"/>
    <w:rsid w:val="00F22F77"/>
    <w:rsid w:val="00F36548"/>
    <w:rsid w:val="00F516C1"/>
    <w:rsid w:val="00F72597"/>
    <w:rsid w:val="00F75D96"/>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5:docId w15:val="{10CA86CD-DB1B-4D4E-8740-F3BA1387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Loetelum"/>
    <w:qFormat/>
    <w:rsid w:val="00B52D57"/>
    <w:pPr>
      <w:keepNext/>
      <w:numPr>
        <w:numId w:val="2"/>
      </w:numPr>
      <w:spacing w:before="240" w:after="60"/>
      <w:ind w:left="0" w:firstLine="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character" w:styleId="PageNumber">
    <w:name w:val="page number"/>
    <w:basedOn w:val="DefaultParagraphFont"/>
  </w:style>
  <w:style w:type="paragraph" w:customStyle="1" w:styleId="Bodym1">
    <w:name w:val="Bodym1"/>
    <w:basedOn w:val="Bodym"/>
    <w:link w:val="Bodym1Char"/>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link w:val="BodymChar"/>
    <w:rsid w:val="00A21113"/>
    <w:pPr>
      <w:numPr>
        <w:ilvl w:val="1"/>
        <w:numId w:val="7"/>
      </w:numPr>
      <w:spacing w:before="80"/>
      <w:jc w:val="left"/>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jc w:val="left"/>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jc w:val="left"/>
    </w:pPr>
    <w:rPr>
      <w:caps/>
      <w:sz w:val="28"/>
    </w:rPr>
  </w:style>
  <w:style w:type="paragraph" w:customStyle="1" w:styleId="Tallinn">
    <w:name w:val="Tallinn"/>
    <w:basedOn w:val="BodyText"/>
    <w:next w:val="BodyText"/>
    <w:qFormat/>
    <w:rsid w:val="001E0159"/>
    <w:pPr>
      <w:spacing w:before="80" w:after="120"/>
    </w:pPr>
  </w:style>
  <w:style w:type="paragraph" w:customStyle="1" w:styleId="Pealkiri">
    <w:name w:val="Pealkiri"/>
    <w:basedOn w:val="BodyText"/>
    <w:next w:val="BodyText"/>
    <w:qFormat/>
    <w:rsid w:val="00142EAD"/>
    <w:pPr>
      <w:spacing w:before="960" w:after="600"/>
      <w:ind w:right="5103"/>
    </w:pPr>
    <w:rPr>
      <w:b/>
    </w:rPr>
  </w:style>
  <w:style w:type="paragraph" w:customStyle="1" w:styleId="Nimiall">
    <w:name w:val="Nimi all"/>
    <w:basedOn w:val="Normal"/>
    <w:qFormat/>
    <w:rsid w:val="00F22F77"/>
    <w:pPr>
      <w:tabs>
        <w:tab w:val="left" w:pos="5103"/>
      </w:tabs>
      <w:spacing w:before="960"/>
      <w:jc w:val="left"/>
    </w:pPr>
  </w:style>
  <w:style w:type="character" w:customStyle="1" w:styleId="BodymChar">
    <w:name w:val="Bodym Char"/>
    <w:link w:val="Bodym"/>
    <w:rsid w:val="00386B20"/>
    <w:rPr>
      <w:sz w:val="24"/>
      <w:lang w:eastAsia="en-US"/>
    </w:rPr>
  </w:style>
  <w:style w:type="character" w:customStyle="1" w:styleId="Bodym1Char">
    <w:name w:val="Bodym1 Char"/>
    <w:basedOn w:val="BodymChar"/>
    <w:link w:val="Bodym1"/>
    <w:rsid w:val="00386B20"/>
    <w:rPr>
      <w:sz w:val="24"/>
      <w:lang w:eastAsia="en-US"/>
    </w:rPr>
  </w:style>
  <w:style w:type="character" w:styleId="Hyperlink">
    <w:name w:val="Hyperlink"/>
    <w:basedOn w:val="DefaultParagraphFont"/>
    <w:unhideWhenUsed/>
    <w:rsid w:val="00095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244D-2E9D-48E3-8FC2-4CF99F94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3</cp:revision>
  <cp:lastPrinted>2009-01-23T12:28:00Z</cp:lastPrinted>
  <dcterms:created xsi:type="dcterms:W3CDTF">2019-11-28T07:31:00Z</dcterms:created>
  <dcterms:modified xsi:type="dcterms:W3CDTF">2019-11-28T07:32:00Z</dcterms:modified>
</cp:coreProperties>
</file>